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a7d" w14:textId="66b9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января 2009 года № 43 "Об утверждении Перечня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октября 2009 года № 2013. Зарегистрировано Управлением юстиции города Костаная Костанайской области 2 ноября 2009 года № 9-1-134. Утратило силу постановлением акимата города Костаная Костанайской области от 11 января 2010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Костаная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Перечня целевых групп населения" от 13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9-1-121, опубликовано 24 февраля 2009 года в газете "Костанай", ранее внесены изменения и дополнения постановлением акимата от 24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13 января 2009 года № 43 "Об утверждении Перечня целевых групп населения", зарегистрировано в Реестре государственной регистрации нормативных правовых актов за № 9-1-132, опубликовано 13 октября 2009 года в газете "Костанай" № 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групп, утвержденном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"Безработные, завершившие профессиональную подготовку, переподготовку и повышение квалификации по направлению уполномоченного органа по вопросам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Костаная Жундубаева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</w:t>
      </w:r>
      <w:r>
        <w:rPr>
          <w:rFonts w:ascii="Times New Roman"/>
          <w:b w:val="false"/>
          <w:i/>
          <w:color w:val="000000"/>
          <w:sz w:val="28"/>
        </w:rPr>
        <w:t>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