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4468" w14:textId="9204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 в рамках "Дорожной карты"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№ 781 от 07 июля 2009 года. Зарегистрировано Управлением юстиции города Актау № 11-1-111 от 17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занятости населения»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года, постановлением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</w:t>
      </w:r>
      <w:r>
        <w:rPr>
          <w:rFonts w:ascii="Times New Roman"/>
          <w:b w:val="false"/>
          <w:i w:val="false"/>
          <w:color w:val="000000"/>
          <w:sz w:val="28"/>
        </w:rPr>
        <w:t>
 (Дорожная карта) от 10 марта 2009 года, и в целях организации для целевых групп населения молодежной практики и социальных рабочих мест, акимат города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Городскому отделу занятости и социальных программ (далее-уполномоченный орган) (К. Айтбатырова) организовать в предприятиях, организациях и учреждениях молодежную практику для безработной молодежи окончившей учебные заведения начального, среднего и высшего профессионального образования и социальные рабочие места для целевых групп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предприятий, организаций и учреждений организующих молодежную практику на 2009 год,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предприятий, организаций и учреждений организующих в рамках «Дорожной карты» социальные рабочие места для целевых групп населения на 2009 год,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провести подбор безработной молодежи заканчивающей учебные заведения и при подборе учитывать следующие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молодежь, зарегистрированная в Уполномоченном органе в качестве безработного;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до 29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момент подбора отсутствие подходящей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«Дорожной карты» срок занятости безработной молодежи и целевых групп населения шесть месяцев и месячная заработная плата составляет пятнадцать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финансируется за счет средств республиканского бюджета по подпрограмме «002 102 149» «Дополнительные меры по социальной защите граждан в сфере занятости».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Хитуова Т.К.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акима города    М. Молдагулов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«Городской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______________Айтбатырова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_____________2009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«Городской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Ким А.Н.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_____________2009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"__"_____200__года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предприятий, организаций и учреждений организующих молодежную практику на 2009 год.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806"/>
        <w:gridCol w:w="1940"/>
        <w:gridCol w:w="1639"/>
        <w:gridCol w:w="1779"/>
        <w:gridCol w:w="1799"/>
        <w:gridCol w:w="1861"/>
      </w:tblGrid>
      <w:tr>
        <w:trPr>
          <w:trHeight w:val="6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 и учреждений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направляемых безработных (человек)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работ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 работ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оплачиваемый на одного человека, тенге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
</w:t>
            </w:r>
          </w:p>
        </w:tc>
      </w:tr>
      <w:tr>
        <w:trPr>
          <w:trHeight w:val="2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"Актауская нефтяная электронная компания"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"Мангистауская распредилительная электросетевая компания"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"Актауское управление электрических сетей"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"Энергострой-МГК"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"Фихтех"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"Express Welding-1"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обслуживания населения Мангистауской области"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внутренних дел Мангистауской области"мемлекеттік мекемесі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Мангистаускй областной филиал государственного учреждения "Департамент экологии Жайык Каспий 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предпринимательства и сельского хозяйства"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"DS &amp;V"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центр оказания социальной помощи на дому"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занятости и социальных программ"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образования"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"Открытый накопительный пенсионный фонд "Отан"" в городе Актау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юстиции Мангистауский обласи"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"SKY SILK"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8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жилищно-коммунального хозяйства, пассажирского транспорта и автомобильных дорог"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"Нефтяная страховая компания" в городе Актау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земельных отношений"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"Мангистауский областной филиал Государственного центра по выплате пенсии"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архитектуры и градостроительства"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"МАЭК-Казатомпром"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"Городское управление капитального строительства"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"Налоговый департамент по Мангистауской области"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"АТФБанк" в городе Актау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"Берекет-Ф"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агентство "Арғын"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 Актауская детская поликлиника"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акционерного общества по городу Актау и Мангистауской области "Накопительный пенсионный фонд "Республика" 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"Фатима &amp; К"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"Актауская поликлиника№2"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"Нияз-Мухаммед"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"Альянсбанк" в городе Актау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акционерного общества "Казпочта"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"Актауский стомоталогический центр"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"Учебный центр "Болашак"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Казахстанской современной академии "Болашак"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строительства"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экономики и бюджетного планирования"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финансов"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"Психоневрологический дом-интернат"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"__"_____2009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предприятий, организаций и учреждений организующих в рамках "Дорожной карты" социальные рабочие места для целевых групп населения на 2009 год.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271"/>
        <w:gridCol w:w="1817"/>
        <w:gridCol w:w="1635"/>
        <w:gridCol w:w="1818"/>
        <w:gridCol w:w="1554"/>
        <w:gridCol w:w="2124"/>
      </w:tblGrid>
      <w:tr>
        <w:trPr>
          <w:trHeight w:val="60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предприятий, организаций и учреждений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 (человек)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работ
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работ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и размер заработной платы
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(тенге)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работодателя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"Энергострой-МГК"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"SKY SILK"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правление общественного объединения "Казахское общество слепых"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"Актаутургынуй"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"Актаулифт"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"Коктем"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"Кала жолдары"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"МАЭК-Казатомпром"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АО "Казпочта"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"Сабытай"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фонда содействия борьбе с преступностью и правонарушением по Мангистауской области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"Актауское управление электрических сетей"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"Тепловые водопроводные сети и водоотведение"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"Байжанова Л.Ш."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"Ман-Ата"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"АЛЗ"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"Фатима К"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"Караой курылыс"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"ДОЦ"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"ЭЛМО" Актауское специализированное монтажное управление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"Городское управление капитального строительства"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
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