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8efb7" w14:textId="198ef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XV сессии городского маслихата от 23 декабря 2008 года N 80/15 "О городском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23 ноября 2009 года N 138/22. Зарегистрировано Управлением юстиции города Балхаша Карагандинской области 11 декабря 2009 года N 8-4-159. Утратило силу в связи с истечением срока действия - (письмо аппарата Приозерского городского маслихата Карагандинской области от 27 апреля 2011 года № 4-3/72)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в связи с истечением срока действия - (письмо аппарата Приозерского городского маслихата Карагандинской области от 27.04.2011 № 4-3/72).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XV сессии городского маслихата от 23 декабря 2008 года N 80/15 "О городском бюджете на 2009 год" (зарегистрировано в Реестре государственной регистрации нормативных правовых актов за N 8-4-127, опубликовано в газете "Приозерский вестник" от 16 января 2009 года N 2 (149)), в которое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24 апреля 2009 года N 116/18 "О внесении изменений и дополнений в решение XV сессии городского маслихата от 23 декабря 2008 года N 80/15 "О городском бюджете на 2009 год" (зарегистрировано в Реестре государственной регистрации нормативных правовых актов за N 8-4-142, опубликовано в газете "Приозерский вестник" от 8 мая 2009 года N 12 (159))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 сентября 2009 года N 128/20 "О внесении изменений и дополнений в решение XV сессии городского маслихата от 23 декабря 2008 года N 80/15 "О городском бюджете на 2009 год" (зарегистрировано в Реестре государственной регистрации нормативных правовых актов за N 8-4-153, опубликовано в газете "Приозерский вестник" от 18 сентября 2009 года N 24 (171)),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"1487501" заменить цифрами "1493454";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"88790" заменить цифрами "94640";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"518" заменить цифрами "511";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"1289" заменить цифрами "1446";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"1396904" заменить цифрами "1396857";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"1487537" заменить цифрами "1493490".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XV сессии городского маслихата от 23 декабря 2008 года N 80/15 "О городском бюджете на 2009 год"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Е. 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XXII сессии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23 </w:t>
      </w:r>
      <w:r>
        <w:rPr>
          <w:rFonts w:ascii="Times New Roman"/>
          <w:b w:val="false"/>
          <w:i w:val="false"/>
          <w:color w:val="000000"/>
          <w:sz w:val="28"/>
        </w:rPr>
        <w:t>ноября</w:t>
      </w:r>
      <w:r>
        <w:rPr>
          <w:rFonts w:ascii="Times New Roman"/>
          <w:b w:val="false"/>
          <w:i w:val="false"/>
          <w:color w:val="000000"/>
          <w:sz w:val="28"/>
        </w:rPr>
        <w:t xml:space="preserve"> 2009 </w:t>
      </w:r>
      <w:r>
        <w:rPr>
          <w:rFonts w:ascii="Times New Roman"/>
          <w:b w:val="false"/>
          <w:i w:val="false"/>
          <w:color w:val="000000"/>
          <w:sz w:val="28"/>
        </w:rPr>
        <w:t>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N 138/22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XV </w:t>
      </w:r>
      <w:r>
        <w:rPr>
          <w:rFonts w:ascii="Times New Roman"/>
          <w:b w:val="false"/>
          <w:i w:val="false"/>
          <w:color w:val="000000"/>
          <w:sz w:val="28"/>
        </w:rPr>
        <w:t>сессии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23 </w:t>
      </w:r>
      <w:r>
        <w:rPr>
          <w:rFonts w:ascii="Times New Roman"/>
          <w:b w:val="false"/>
          <w:i w:val="false"/>
          <w:color w:val="000000"/>
          <w:sz w:val="28"/>
        </w:rPr>
        <w:t>декабря</w:t>
      </w:r>
      <w:r>
        <w:rPr>
          <w:rFonts w:ascii="Times New Roman"/>
          <w:b w:val="false"/>
          <w:i w:val="false"/>
          <w:color w:val="000000"/>
          <w:sz w:val="28"/>
        </w:rPr>
        <w:t xml:space="preserve"> 2008 </w:t>
      </w:r>
      <w:r>
        <w:rPr>
          <w:rFonts w:ascii="Times New Roman"/>
          <w:b w:val="false"/>
          <w:i w:val="false"/>
          <w:color w:val="000000"/>
          <w:sz w:val="28"/>
        </w:rPr>
        <w:t>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N 80/15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Городской</w:t>
      </w:r>
      <w:r>
        <w:rPr>
          <w:rFonts w:ascii="Times New Roman"/>
          <w:b/>
          <w:i w:val="false"/>
          <w:color w:val="000080"/>
          <w:sz w:val="28"/>
        </w:rPr>
        <w:t xml:space="preserve"> бюджет</w:t>
      </w:r>
      <w:r>
        <w:rPr>
          <w:rFonts w:ascii="Times New Roman"/>
          <w:b/>
          <w:i w:val="false"/>
          <w:color w:val="000080"/>
          <w:sz w:val="28"/>
        </w:rPr>
        <w:t xml:space="preserve"> на</w:t>
      </w:r>
      <w:r>
        <w:rPr>
          <w:rFonts w:ascii="Times New Roman"/>
          <w:b/>
          <w:i w:val="false"/>
          <w:color w:val="000080"/>
          <w:sz w:val="28"/>
        </w:rPr>
        <w:t xml:space="preserve"> 2009 </w:t>
      </w:r>
      <w:r>
        <w:rPr>
          <w:rFonts w:ascii="Times New Roman"/>
          <w:b/>
          <w:i w:val="false"/>
          <w:color w:val="000080"/>
          <w:sz w:val="28"/>
        </w:rPr>
        <w:t>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656"/>
        <w:gridCol w:w="676"/>
        <w:gridCol w:w="10128"/>
        <w:gridCol w:w="190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тенге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1493454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поступления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94640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25676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подоходный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25676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собственность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40958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имущество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19571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транспортные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средства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товары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использование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других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ресурсов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профессиональной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игорный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бизнес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7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пошлина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поступления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собственности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</w:p>
        </w:tc>
      </w:tr>
      <w:tr>
        <w:trPr>
          <w:trHeight w:val="4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4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официальных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1396857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вышестоящих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1396857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1396857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757"/>
        <w:gridCol w:w="797"/>
        <w:gridCol w:w="777"/>
        <w:gridCol w:w="9048"/>
        <w:gridCol w:w="192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1493490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57235</w:t>
            </w:r>
          </w:p>
        </w:tc>
      </w:tr>
      <w:tr>
        <w:trPr>
          <w:trHeight w:val="4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41972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29771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29771</w:t>
            </w:r>
          </w:p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9722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9722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238342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37211</w:t>
            </w:r>
          </w:p>
        </w:tc>
      </w:tr>
      <w:tr>
        <w:trPr>
          <w:trHeight w:val="5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37211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37211</w:t>
            </w:r>
          </w:p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198233</w:t>
            </w:r>
          </w:p>
        </w:tc>
      </w:tr>
      <w:tr>
        <w:trPr>
          <w:trHeight w:val="5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198233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160137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31739</w:t>
            </w:r>
          </w:p>
        </w:tc>
      </w:tr>
      <w:tr>
        <w:trPr>
          <w:trHeight w:val="5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</w:t>
            </w:r>
          </w:p>
        </w:tc>
      </w:tr>
      <w:tr>
        <w:trPr>
          <w:trHeight w:val="5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</w:t>
            </w:r>
          </w:p>
        </w:tc>
      </w:tr>
      <w:tr>
        <w:trPr>
          <w:trHeight w:val="5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47048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37230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37230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23829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</w:t>
            </w:r>
          </w:p>
        </w:tc>
      </w:tr>
      <w:tr>
        <w:trPr>
          <w:trHeight w:val="5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</w:t>
            </w:r>
          </w:p>
        </w:tc>
      </w:tr>
      <w:tr>
        <w:trPr>
          <w:trHeight w:val="5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инвалидов, воспитывающихся и обучающихся на дому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</w:tr>
      <w:tr>
        <w:trPr>
          <w:trHeight w:val="8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9818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9818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</w:t>
            </w:r>
          </w:p>
        </w:tc>
      </w:tr>
      <w:tr>
        <w:trPr>
          <w:trHeight w:val="5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1060128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564718</w:t>
            </w:r>
          </w:p>
        </w:tc>
      </w:tr>
      <w:tr>
        <w:trPr>
          <w:trHeight w:val="5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555787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Поддержание инфраструктуры города Приозерска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542944</w:t>
            </w:r>
          </w:p>
        </w:tc>
      </w:tr>
      <w:tr>
        <w:trPr>
          <w:trHeight w:val="5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</w:t>
            </w:r>
          </w:p>
        </w:tc>
      </w:tr>
      <w:tr>
        <w:trPr>
          <w:trHeight w:val="5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481945</w:t>
            </w:r>
          </w:p>
        </w:tc>
      </w:tr>
      <w:tr>
        <w:trPr>
          <w:trHeight w:val="5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134432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134432</w:t>
            </w:r>
          </w:p>
        </w:tc>
      </w:tr>
      <w:tr>
        <w:trPr>
          <w:trHeight w:val="5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347513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347513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4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2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36859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</w:p>
        </w:tc>
      </w:tr>
      <w:tr>
        <w:trPr>
          <w:trHeight w:val="4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5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5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14181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5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5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культуры,спорта, туризма и информационного пространства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20287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14597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</w:t>
            </w:r>
          </w:p>
        </w:tc>
      </w:tr>
      <w:tr>
        <w:trPr>
          <w:trHeight w:val="5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</w:t>
            </w:r>
          </w:p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5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</w:t>
            </w:r>
          </w:p>
        </w:tc>
      </w:tr>
      <w:tr>
        <w:trPr>
          <w:trHeight w:val="5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</w:t>
            </w:r>
          </w:p>
        </w:tc>
      </w:tr>
      <w:tr>
        <w:trPr>
          <w:trHeight w:val="2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Промышленность,архитектурная, градостроительная и строительная деятельность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10248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10248</w:t>
            </w:r>
          </w:p>
        </w:tc>
      </w:tr>
      <w:tr>
        <w:trPr>
          <w:trHeight w:val="5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10248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10248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</w:t>
            </w:r>
          </w:p>
        </w:tc>
      </w:tr>
      <w:tr>
        <w:trPr>
          <w:trHeight w:val="5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29925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29925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5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10403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 и сельского хозяйства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10403</w:t>
            </w:r>
          </w:p>
        </w:tc>
      </w:tr>
      <w:tr>
        <w:trPr>
          <w:trHeight w:val="5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</w:t>
            </w:r>
          </w:p>
        </w:tc>
      </w:tr>
      <w:tr>
        <w:trPr>
          <w:trHeight w:val="5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</w:t>
            </w:r>
          </w:p>
        </w:tc>
      </w:tr>
      <w:tr>
        <w:trPr>
          <w:trHeight w:val="5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11679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образования, физической культуры и спорта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11679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 трансферты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 трансферты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начало финансового года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