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6d9d" w14:textId="90b6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20 января 2009 года N 02/01. Зарегистрировано Управлением юстиции Бухар-Жырауского района Карагандинской области 04 февраля 2009 года N 8-11-70. Утратило силу - постановлением акимата Бухар-Жырауского района Карагандинской области от 15 января 2010 года N 01/04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Бухар-Жырауского района Карагандинской области от 15.01.2010 N 01/04.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"О мерах по реализации Закона Республики Казахстан от 23 января 2001 года "О занятости населения" и в целях обеспечения временной занятости безработных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организаций, в которых будут проводиться общественные работы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виды и объемы общественных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безработных, участвующих в общественных работах производить в размере минимальной заработной платы, утвержденной Законом Республики Казахстан от 4 декабря 2008 года "О республиканском бюджете на 2009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Районному отделу финансов (Исабаев Мурат Ойдашевич) обеспечить финансирование общественных работ в пределах средств, предусмотренных в бюджете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Районному отделу занятости и социальных программ (Алексеева Надежда Григорьевна):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заключение договоров с руководителями организаций и направление безработных с их согласия в организации, согласно представленных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начисление и выплату заработной платы безработным, участвующим в общественных работах, согласно представленного работодателями акта выполненных работ и табеля учета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Считать утратившим силу постановление акимата Бухар-Жырауского района "Об организации общественных работ на 2008 год" N 06/01 от 19 февраля 2008 года (регистрационный номер 8-11-52, опубликовано в районной газете "Сарыарка" N 13 29 марта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Али Асхат Сагадиевича.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официального опубликования и распространяется на правоотношения возникшие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Нашаров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20.01.2009 г. N 02/01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которых будут проводиться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Аппараты акимов сельских округов и поселков 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Бухар-Жырауское отделение государственного центра по выплате пенсий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занятости и социальных программ Бухар-Жырауского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"Центр работы с молодежью Бухар-Жырауского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по делам обороны Бухар-Жырауского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земельных отношений Бухар-Жырауского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Налоговый комитет по Бухар-Жыраускому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Управление внутренних дел 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Управление юстиции 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Казенное государственное предприятие "Бухар-Жырауский районный историко-краеведческий музей"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Карагандинский областной филиал республиканского государственного предприятия "Казахавтодор", дорожный эксплуатационный участок N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20.01.2009 г. N 02/01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Виды и объемы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Оказание социальных услуг на дому одиноким инвалидам и престарелым гражданам - сумма 2263.0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Формирование пакета документов необходимых для назначения Государственного детского пособия, адресной социальной помощи – сумма 2000.0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пакета документов необходимых при назначении единовременной государственной компенсации за период проживание в зоне ядерного полигона – сумма 970.0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Формирование документации при проведении перерасчета пенсий и государственных социальных пособий - сумма 161.6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работы среди молодежи по пропаганде здорового образа жизни и профилактике правонарушений среди несовершеннолетних - сумма 1778.0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Сбор налоговых платежей - сумма 1064.1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Сбор и оформление документов необходимых для регистрации и документирования оралманов – сумма 323.3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Формирование пакета документов, необходимых для регистрации права собственности на земельный участок - сумма 310.0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Ведение картотеки учета транспортных средств, оформление номенклатурной документации - сумма 148.2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Озеленение и благоустройство населенных пунктов – сумма 2000.0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Участие в строительстве, реконструкции и капитальном ремонте жилья, а также объектов социального и культурного назначения – сумма 1126.2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Формирование документации при проведении приписки и призыва граждан допризывного и призывного возраста на срочную воинскую службу – сумма 269.4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Ведение учета фондов музея – сумма 296.4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Ведение электронной базы данных и формирование адресно-архивной картотеки – сумма 808.2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Ведения документации и журналов по делам несовершеннолетних- сумма 592.6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Уборка мусора на проезжей части и в пределах придорожной полосы - сумма 889.0 тысяч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