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ffa2" w14:textId="22bf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03 декабря 2009 года N 28/06. Зарегистрировано Управлением юстиции Абайского района Карагандинской области 11 декабря 2009 года N 8-9-71. Утратило силу - постановлением акимата Абайского района Карагандинской области от 14 декабря 2010 года N 28/17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14.12.2010 N 28/17.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Абайского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высвобожденные в связи с ликвидацией организации, сокращением численности или штата;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воспитанники детских домов, дети-сироты и дети, оставшиеся без попечения родителей,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одинокие, многодетные родители, воспитывающие несовершенно-летних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репатрианты (оралманы);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высвобожденные в связи с ликвидацией работодателя - юридического лица либо прекращением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обязан предоставлять информацию Отделу: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предстоящем высвобождении работников в связи с ликвидацией работодателя – юридического лица либо прекращения деятельности работодателя – 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предстоящем изменении условий труда в части перехода работников на режим неполного рабочего времени в связи с изменением в организации производства, в том числе при реорганизации, и (или) сокращением объема работ у работодателя не менее чем за один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приеме на работу или об отказе в приеме на работу граждан (с указанием причины путем соответствующей отметки в направлении) в течении пяти рабочих дней со дня направления их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