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f1b74" w14:textId="c3f1b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10 сессии Саранского городского маслихата от 19 декабря 2008 года N 198 "Об установлении стоимости разовых талонов и размера единых ставок фиксированного суммарного налога на отдельные виды деятельности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13 сессии Саранского городского маслихата Карагандинской области от 26 февраля 2009 года N 227. Зарегистрировано Управлением юстиции города Сарани Карагандинской области 08 апреля 2009 года N 8-7-82. Утратило силу - решением 21 сессии Саранского городского маслихата Карагандинской области от 22 декабря 2009 года N 371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/>
          <w:color w:val="800000"/>
          <w:sz w:val="28"/>
        </w:rPr>
        <w:t xml:space="preserve"> 21 сессии Саранского городского маслихата Карагандинской области от 22.12.2009 N 371.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 w:val="false"/>
          <w:i w:val="false"/>
          <w:color w:val="000000"/>
          <w:sz w:val="28"/>
        </w:rPr>
        <w:t xml:space="preserve">
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июня 2001 года "О налогах и других обязательных платежах в бюджет (Налоговый кодекс)",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"О налогах и других обязательных платежах в бюджет (Налоговый кодекс)",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"О введении в действие Кодекса Республики Казахстан "О налогах и других обязательных платежах в бюджет (Налоговый кодекс)",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Саранский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10 сессии Саранского городского маслихата от 19 декабря 2008 года </w:t>
      </w:r>
      <w:r>
        <w:rPr>
          <w:rFonts w:ascii="Times New Roman"/>
          <w:b w:val="false"/>
          <w:i w:val="false"/>
          <w:color w:val="000000"/>
          <w:sz w:val="28"/>
        </w:rPr>
        <w:t>N 198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стоимости разовых талонов и размера единых ставок фиксированного суммарного налога на отдельные виды деятельности на 2009 год" (регистрационный номер в Реестре государственной регистрации нормативно правовых актов 8-7-76, опубликовано в газете "Ваша газета" N 4 от 24 января 2009 года),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после государственной регистрации в органах юстиции, вводится в действие по истечению десяти календарных дней после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Т. Глотова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   Р. Бекбанов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13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февраля 2009 года N 227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Стоимость разовых талонов для физических лиц, деятельность которых носит эпизодический характер (за исключением деятельности, осуществляемой в стационарных помещениях)</w:t>
      </w:r>
      <w:r>
        <w:rPr>
          <w:rFonts w:ascii="Times New Roman"/>
          <w:b w:val="false"/>
          <w:i w:val="false"/>
          <w:color w:val="000000"/>
          <w:sz w:val="28"/>
        </w:rPr>
        <w:t>*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4"/>
        <w:gridCol w:w="7557"/>
        <w:gridCol w:w="4769"/>
      </w:tblGrid>
      <w:tr>
        <w:trPr>
          <w:trHeight w:val="40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предпринимательской деятельности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в процентах от месячного расчетного показателя</w:t>
            </w:r>
          </w:p>
        </w:tc>
      </w:tr>
      <w:tr>
        <w:trPr>
          <w:trHeight w:val="12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бахчевых культур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12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газет и журналов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2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живых цветов, выращенных на дачных и придомовых участках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2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продуктов, произведенных в личном подсобном хозяйстве, садоводства, огородничества и дачных участков, кормов для животных и птиц, веников, метел, лесных ягод, меда, грибов и рыбы.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2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семян, а также посадочного материала.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2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владельцев личных тракторов и другой сельскохозяйственной техники по обработке земельных участков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*Размеры стоимости разовых талонов для физических лиц, деятельность которых носит эпизодический характер (за исключением деятельности, осуществляемой в стационарных помещениях) установленные на единицу объекта налогообложения в день.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13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февраля 2009 года N 227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Размеры ставок фиксированного суммарного налога с единицы объекта налогообложения на отдельные виды деятельности</w:t>
      </w:r>
      <w:r>
        <w:rPr>
          <w:rFonts w:ascii="Times New Roman"/>
          <w:b w:val="false"/>
          <w:i w:val="false"/>
          <w:color w:val="000000"/>
          <w:sz w:val="28"/>
        </w:rPr>
        <w:t>*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9"/>
        <w:gridCol w:w="7686"/>
        <w:gridCol w:w="4855"/>
      </w:tblGrid>
      <w:tr>
        <w:trPr>
          <w:trHeight w:val="12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объекта налогообложения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базовой ставки фиксированного суммарного налога (в месячных расчетных показателях)</w:t>
            </w:r>
          </w:p>
        </w:tc>
      </w:tr>
      <w:tr>
        <w:trPr>
          <w:trHeight w:val="12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Игровой автомат без денежного выигрыша, предназначенный для проведения игры с одним игроком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2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Игровой автомат без денежного выигрыша, предназначенный для проведения игры с участием более одного игрока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2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Персональный компьютер, используемый для проведения игры.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2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Игровая дорожка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12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Бильярдный стол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*Размеры ставок фиксированного суммарного налога установленные на единицу объекта налогообложения в месяц.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