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c50" w14:textId="7d67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ХХХІІІ сессии городского маслихата от 28 июля 2006 года N 359 "Об утверждении Правил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Сатпаевского городского маслихата Карагандинской области от 24 июля 2009 года N 232. Зарегистрировано Управлением юстиции города Сатпаев Карагандинской области 29 июля 2009 года N 8-6-86. Утратило силу - решением Сатпаевского городского маслихата Карагандинской области от 14 мая 2010 года N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Сатпаевского городского маслихата Карагандинской области от 14.05.2010 N 336.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ХХХІІІ сессии городского маслихата от 28 июля 2006 года N 359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(зарегистрировано в Управлении юстиции города Сатпаев 4 августа 2006 года за N 8-6-30 и официально опубликовано в N 91 (1346) газеты "Шарайна" 9 августа 2006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решения слова "Правил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сетей телекоммуникаций" заменить словами "Правила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и сельских сетей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преамбуле решения слова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"О некоторых вопросах компенсации повышения тарифов абонентской платы за телефон"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Правилах,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главы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 совокупному доходу семьи в размере 11 %" заменить словами "к совокупному доходу семьи в размере 10 %".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ХХХІІІ сессии Сатпаевского городского маслихата Карагандинской области от 28.07.2006 N 359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г. Сатпаев"          Т. Капарова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июля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