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5c6c" w14:textId="7ed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июня 2009 года № С-16/4. Зарегистрировано Управлением юстиции Шортандинского района Акмолинской области 20 июня 2009 года № 1-18-72. Утратило силу - решением Шортандинского районного малихата Акмолинской области от 12 декабря 2011 года № С-45/5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Шортандинского районного маслихата Акмолинской области от 12.12.2011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С-45/5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 от 10 декабря 2008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  Шортандинского района на единицу объекта  налогообложения 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игровой автомат без выигрыша, предназначенный для  проведения игры с одним игроком - один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персональный компьютер, используемый для проведения игры - один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Шортандинского районного маслихата «Об утверждении ставок фиксированного суммарного налога» от 23 декабря 2004 года № С-10/3 (зарегистрировано в Реестре государственной регистрации нормативных правовых актов за № 2987, опубликовано в районной газете «Вести» от 29 января 2005 года № 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 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района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Б. Молдахметова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