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5c5c" w14:textId="ee45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2009 года № 164/25-4. Зарегистрировано Управлением юстиции Целиноградского района Акмолинской области 27 января 2010 года № 1-17-129. Утратило силу - решением Целиноградского районного маслихата Акмолинской области от 13 декабря 2011 года № 297/46-4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Целиноградского районного маслихата Акмолинской области от 13.12.2011 </w:t>
      </w:r>
      <w:r>
        <w:rPr>
          <w:rFonts w:ascii="Times New Roman"/>
          <w:b w:val="false"/>
          <w:i w:val="false"/>
          <w:color w:val="000000"/>
          <w:sz w:val="28"/>
        </w:rPr>
        <w:t>№ 297/46-4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«О налогах и других обязательных платежах в бюджет (Налоговый кодекс)» от 10 декабря 2008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Целиноградского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Целиноградскому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А.Мелдебеков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164/25-4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Целиноградского района</w:t>
      </w:r>
      <w:r>
        <w:br/>
      </w:r>
      <w:r>
        <w:rPr>
          <w:rFonts w:ascii="Times New Roman"/>
          <w:b/>
          <w:i w:val="false"/>
          <w:color w:val="000000"/>
        </w:rPr>
        <w:t>
(на единицу налогообложения в 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589"/>
        <w:gridCol w:w="6363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