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a15e" w14:textId="208a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Жаксынского района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23 декабря 2009 года № С-23-2. Зарегистрировано Управлением юстиции Жаксынского района Акмолинской области 13 января 2010 года № 1-13-102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Жаксынский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2031883,7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234833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1779226,7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2092935,6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14006,6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- 14244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-75058,5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  75058,5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Жаксынского районного маслихата Акмолинской области от 07.04.2010 </w:t>
      </w:r>
      <w:r>
        <w:rPr>
          <w:rFonts w:ascii="Times New Roman"/>
          <w:b w:val="false"/>
          <w:i w:val="false"/>
          <w:color w:val="000000"/>
          <w:sz w:val="28"/>
        </w:rPr>
        <w:t>№ BС-25-2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24.06.2010 </w:t>
      </w:r>
      <w:r>
        <w:rPr>
          <w:rFonts w:ascii="Times New Roman"/>
          <w:b w:val="false"/>
          <w:i w:val="false"/>
          <w:color w:val="000000"/>
          <w:sz w:val="28"/>
        </w:rPr>
        <w:t>№ С-26-3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22.07.2010 </w:t>
      </w:r>
      <w:r>
        <w:rPr>
          <w:rFonts w:ascii="Times New Roman"/>
          <w:b w:val="false"/>
          <w:i w:val="false"/>
          <w:color w:val="000000"/>
          <w:sz w:val="28"/>
        </w:rPr>
        <w:t>№ С-27-4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18.10.2010 </w:t>
      </w:r>
      <w:r>
        <w:rPr>
          <w:rFonts w:ascii="Times New Roman"/>
          <w:b w:val="false"/>
          <w:i w:val="false"/>
          <w:color w:val="000000"/>
          <w:sz w:val="28"/>
        </w:rPr>
        <w:t>№ ВС-28-2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19.11.2010 </w:t>
      </w:r>
      <w:r>
        <w:rPr>
          <w:rFonts w:ascii="Times New Roman"/>
          <w:b w:val="false"/>
          <w:i w:val="false"/>
          <w:color w:val="000000"/>
          <w:sz w:val="28"/>
        </w:rPr>
        <w:t>№ ВС-29-2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13.12.2010 </w:t>
      </w:r>
      <w:r>
        <w:rPr>
          <w:rFonts w:ascii="Times New Roman"/>
          <w:b w:val="false"/>
          <w:i w:val="false"/>
          <w:color w:val="000000"/>
          <w:sz w:val="28"/>
        </w:rPr>
        <w:t>№ ВС-30-2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промышленности, транспорта, связи, обороны и иного не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юридических лиц, индивидуальных 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 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залога движимого 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штрафов, пени, санкций, взысканий налагаемых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 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Жаксынского районного маслихата Акмолинской области от 19.11.2010 </w:t>
      </w:r>
      <w:r>
        <w:rPr>
          <w:rFonts w:ascii="Times New Roman"/>
          <w:b w:val="false"/>
          <w:i w:val="false"/>
          <w:color w:val="000000"/>
          <w:sz w:val="28"/>
        </w:rPr>
        <w:t>№ ВС-29-2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2010 год предусмотрены трансферты из областного бюджета, в том числе субвенция в сумме 1176211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2010 год предусмотрены целевые текущие трансферты в областной бюджет в сумме 56342 тысяч тенге в связи с изменением фонда оплаты труда в бюджетной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Жаксынского районного маслихата Акмолинской области от 07.04.2010 </w:t>
      </w:r>
      <w:r>
        <w:rPr>
          <w:rFonts w:ascii="Times New Roman"/>
          <w:b w:val="false"/>
          <w:i w:val="false"/>
          <w:color w:val="000000"/>
          <w:sz w:val="28"/>
        </w:rPr>
        <w:t>№ BС-25-2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2010 год предусмотрены целевые текущие трансферты из Республиканского бюджета в сумме 15301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Республики Казахстан на 2005-2010 годы,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5537 тысяч тенге на создание лингафонных и мультимедийных кабинетов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4095 тысяч тенге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2472 тысяч тенге для внедрения предмета «Самопознание».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3197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Жаксынского районного маслихата Акмолинской области от 07.04.2010 </w:t>
      </w:r>
      <w:r>
        <w:rPr>
          <w:rFonts w:ascii="Times New Roman"/>
          <w:b w:val="false"/>
          <w:i w:val="false"/>
          <w:color w:val="000000"/>
          <w:sz w:val="28"/>
        </w:rPr>
        <w:t>№ BС-25-2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19.11.2010 </w:t>
      </w:r>
      <w:r>
        <w:rPr>
          <w:rFonts w:ascii="Times New Roman"/>
          <w:b w:val="false"/>
          <w:i w:val="false"/>
          <w:color w:val="000000"/>
          <w:sz w:val="28"/>
        </w:rPr>
        <w:t>№ ВС-29-2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2010 год предусмотрены целевые текущие трансферты из республиканского бюджета на социальную помощь в сумме 6450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тысяч тенге на выплату ежемесячного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450 тысяч тенге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тысяч тенге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2010 год предусмотрены целевые текущие трансферты из республиканского бюджета в сумме 4604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4425 тысяч тенге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 тысяч тенге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Жаксынского районного маслихата Акмолинской области от 07.04.2010 </w:t>
      </w:r>
      <w:r>
        <w:rPr>
          <w:rFonts w:ascii="Times New Roman"/>
          <w:b w:val="false"/>
          <w:i w:val="false"/>
          <w:color w:val="000000"/>
          <w:sz w:val="28"/>
        </w:rPr>
        <w:t>№ BС-25-2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22.07.2010 </w:t>
      </w:r>
      <w:r>
        <w:rPr>
          <w:rFonts w:ascii="Times New Roman"/>
          <w:b w:val="false"/>
          <w:i w:val="false"/>
          <w:color w:val="000000"/>
          <w:sz w:val="28"/>
        </w:rPr>
        <w:t>№ С-27-4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2010 год предусмотрены средства из республиканского бюджета в сумме 17737,7 тысячи тенге для реализации мер социальной поддержки специалистов социальной сферы сельских населенных пунктов,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14244 тысячи тенге на выдачу бюджетных кредитов для приобретения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3493,7 тысяч тенге на выплату единовременного подъемного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Жаксынского районного маслихата Акмолинской области от 19.11.2010 </w:t>
      </w:r>
      <w:r>
        <w:rPr>
          <w:rFonts w:ascii="Times New Roman"/>
          <w:b w:val="false"/>
          <w:i w:val="false"/>
          <w:color w:val="000000"/>
          <w:sz w:val="28"/>
        </w:rPr>
        <w:t>№ ВС-29-2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2010 год предусмотрены целевые трансферты из республиканского бюджета на развитие системы водоснабжения в сумме 410340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объектам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Жаксынского районного маслихата Акмолинской области от 18.10.2010 </w:t>
      </w:r>
      <w:r>
        <w:rPr>
          <w:rFonts w:ascii="Times New Roman"/>
          <w:b w:val="false"/>
          <w:i w:val="false"/>
          <w:color w:val="000000"/>
          <w:sz w:val="28"/>
        </w:rPr>
        <w:t>№ BС-28-2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19.11.2010 </w:t>
      </w:r>
      <w:r>
        <w:rPr>
          <w:rFonts w:ascii="Times New Roman"/>
          <w:b w:val="false"/>
          <w:i w:val="false"/>
          <w:color w:val="000000"/>
          <w:sz w:val="28"/>
        </w:rPr>
        <w:t>№ ВС-29-2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13.12.2010 </w:t>
      </w:r>
      <w:r>
        <w:rPr>
          <w:rFonts w:ascii="Times New Roman"/>
          <w:b w:val="false"/>
          <w:i w:val="false"/>
          <w:color w:val="000000"/>
          <w:sz w:val="28"/>
        </w:rPr>
        <w:t>№ ВС-30-2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на 2010 год предусмотрены целевые трансферты на развитие из республиканского бюджета на реализацию Государственной программы жилищного строительства в Республике Казахстан на 2008-2010 годы в сумме 81551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39744 тысячи тенге на строительство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41807 тысяч тенге на развитие и обустройство инженерно - 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района на 2010 год предусмотрены целевые текущие трансферты из республиканского бюджета на содержание подразделений местных исполнительных органов в области ветеринарии 17055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объектам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Жаксынского районного маслихата Акмолинской области от 07.04.2010 </w:t>
      </w:r>
      <w:r>
        <w:rPr>
          <w:rFonts w:ascii="Times New Roman"/>
          <w:b w:val="false"/>
          <w:i w:val="false"/>
          <w:color w:val="000000"/>
          <w:sz w:val="28"/>
        </w:rPr>
        <w:t>№ BС-25-2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района на 2010 год предусмотрены целевые текущие трансферты из республиканского бюджета на проведение противоэпизоотических мероприятий в сумме 8385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Жаксынского районного маслихата Акмолинской области от 07.04.2010 </w:t>
      </w:r>
      <w:r>
        <w:rPr>
          <w:rFonts w:ascii="Times New Roman"/>
          <w:b w:val="false"/>
          <w:i w:val="false"/>
          <w:color w:val="000000"/>
          <w:sz w:val="28"/>
        </w:rPr>
        <w:t>№ BС-25-2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района на 2010 год предусмотрены целевые текущие трансферты из областного бюджета в сумме 5836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3153 тысяч тенге –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проходивших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 проработавшим (прослужившим) не менее шести месяцев в тылу в годы Великой Отечественной войны к 65-летию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382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2301 тысяч тенге на оплату за учебу в колледжах студентам из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Жаксынского районного маслихата Акмолинской области от 07.04.2010 </w:t>
      </w:r>
      <w:r>
        <w:rPr>
          <w:rFonts w:ascii="Times New Roman"/>
          <w:b w:val="false"/>
          <w:i w:val="false"/>
          <w:color w:val="000000"/>
          <w:sz w:val="28"/>
        </w:rPr>
        <w:t>№ BС-25-2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22.07.2010 </w:t>
      </w:r>
      <w:r>
        <w:rPr>
          <w:rFonts w:ascii="Times New Roman"/>
          <w:b w:val="false"/>
          <w:i w:val="false"/>
          <w:color w:val="000000"/>
          <w:sz w:val="28"/>
        </w:rPr>
        <w:t>№ С-27-4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19.11.2010 </w:t>
      </w:r>
      <w:r>
        <w:rPr>
          <w:rFonts w:ascii="Times New Roman"/>
          <w:b w:val="false"/>
          <w:i w:val="false"/>
          <w:color w:val="000000"/>
          <w:sz w:val="28"/>
        </w:rPr>
        <w:t>№ ВС-29-2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района на 2010 год предусмотрены средства из областного бюджета на реализацию стратегии региональной занятости и переподготовки кадров в сумме 50000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тысяч тенге - на текущий ремонт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40000 тысяч тенге - на текущий ремонт внутри поселковых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15. </w:t>
      </w:r>
      <w:r>
        <w:rPr>
          <w:rFonts w:ascii="Times New Roman"/>
          <w:b w:val="false"/>
          <w:i w:val="false"/>
          <w:color w:val="ff0000"/>
          <w:sz w:val="28"/>
        </w:rPr>
        <w:t>исключен.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Жаксынского районного маслихата Акмолинской области от 19.11.2010 </w:t>
      </w:r>
      <w:r>
        <w:rPr>
          <w:rFonts w:ascii="Times New Roman"/>
          <w:b w:val="false"/>
          <w:i w:val="false"/>
          <w:color w:val="000000"/>
          <w:sz w:val="28"/>
        </w:rPr>
        <w:t>№ ВС-29-2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бюджетных программ, не подлежащих секвестру в процессе исполнения бюджета района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бюджетных программ аппарата акимов, аула (села), аульного (сельского округа),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со дня государственной регистрации в Управлении юстиции Жаксынского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маслихата            Л.Гайзер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К.Дузелбаев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С-23-2 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решений Жаксынского районного маслихата Акмолинской области от 22.07.2010 </w:t>
      </w:r>
      <w:r>
        <w:rPr>
          <w:rFonts w:ascii="Times New Roman"/>
          <w:b w:val="false"/>
          <w:i w:val="false"/>
          <w:color w:val="ff0000"/>
          <w:sz w:val="28"/>
        </w:rPr>
        <w:t>№ С-27-4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18.10.2010 </w:t>
      </w:r>
      <w:r>
        <w:rPr>
          <w:rFonts w:ascii="Times New Roman"/>
          <w:b w:val="false"/>
          <w:i w:val="false"/>
          <w:color w:val="ff0000"/>
          <w:sz w:val="28"/>
        </w:rPr>
        <w:t>№ ВС-28-2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19.11.2010 </w:t>
      </w:r>
      <w:r>
        <w:rPr>
          <w:rFonts w:ascii="Times New Roman"/>
          <w:b w:val="false"/>
          <w:i w:val="false"/>
          <w:color w:val="ff0000"/>
          <w:sz w:val="28"/>
        </w:rPr>
        <w:t>№ ВС-29-2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13.12.2010 </w:t>
      </w:r>
      <w:r>
        <w:rPr>
          <w:rFonts w:ascii="Times New Roman"/>
          <w:b w:val="false"/>
          <w:i w:val="false"/>
          <w:color w:val="ff0000"/>
          <w:sz w:val="28"/>
        </w:rPr>
        <w:t>№ ВС-30-2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93"/>
        <w:gridCol w:w="1273"/>
        <w:gridCol w:w="7413"/>
        <w:gridCol w:w="1973"/>
      </w:tblGrid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2031883,7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234833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106345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106345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108789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77343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10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5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8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5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 за исключением поступлений от предприятий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1779226,7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1779226,7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1779226,7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214"/>
        <w:gridCol w:w="1322"/>
        <w:gridCol w:w="8128"/>
        <w:gridCol w:w="2245"/>
      </w:tblGrid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2010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2092935,6</w:t>
            </w:r>
          </w:p>
        </w:tc>
      </w:tr>
      <w:tr>
        <w:trPr>
          <w:trHeight w:val="30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164502</w:t>
            </w:r>
          </w:p>
        </w:tc>
      </w:tr>
      <w:tr>
        <w:trPr>
          <w:trHeight w:val="42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38312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5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2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96762</w:t>
            </w:r>
          </w:p>
        </w:tc>
      </w:tr>
      <w:tr>
        <w:trPr>
          <w:trHeight w:val="70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94366</w:t>
            </w:r>
          </w:p>
        </w:tc>
      </w:tr>
      <w:tr>
        <w:trPr>
          <w:trHeight w:val="5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</w:p>
        </w:tc>
      </w:tr>
      <w:tr>
        <w:trPr>
          <w:trHeight w:val="11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42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1049698,8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1049698,8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925977,2</w:t>
            </w:r>
          </w:p>
        </w:tc>
      </w:tr>
      <w:tr>
        <w:trPr>
          <w:trHeight w:val="72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6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42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56886,3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17000,3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80513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80513</w:t>
            </w:r>
          </w:p>
        </w:tc>
      </w:tr>
      <w:tr>
        <w:trPr>
          <w:trHeight w:val="8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24161</w:t>
            </w:r>
          </w:p>
        </w:tc>
      </w:tr>
      <w:tr>
        <w:trPr>
          <w:trHeight w:val="2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11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186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8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гг" или медалью "За победу над Японией", проработавшим(прослужившим)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129742,8</w:t>
            </w:r>
          </w:p>
        </w:tc>
      </w:tr>
      <w:tr>
        <w:trPr>
          <w:trHeight w:val="6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2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99240,8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54633</w:t>
            </w:r>
          </w:p>
        </w:tc>
      </w:tr>
      <w:tr>
        <w:trPr>
          <w:trHeight w:val="4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44607,8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62603</w:t>
            </w:r>
          </w:p>
        </w:tc>
      </w:tr>
      <w:tr>
        <w:trPr>
          <w:trHeight w:val="4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47095</w:t>
            </w:r>
          </w:p>
        </w:tc>
      </w:tr>
      <w:tr>
        <w:trPr>
          <w:trHeight w:val="6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8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64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66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8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441696,7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3493,7</w:t>
            </w:r>
          </w:p>
        </w:tc>
      </w:tr>
      <w:tr>
        <w:trPr>
          <w:trHeight w:val="90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3493,7</w:t>
            </w:r>
          </w:p>
        </w:tc>
      </w:tr>
      <w:tr>
        <w:trPr>
          <w:trHeight w:val="5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410340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410340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 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6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5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5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3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</w:t>
            </w:r>
          </w:p>
        </w:tc>
      </w:tr>
      <w:tr>
        <w:trPr>
          <w:trHeight w:val="5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46376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23030</w:t>
            </w:r>
          </w:p>
        </w:tc>
      </w:tr>
      <w:tr>
        <w:trPr>
          <w:trHeight w:val="90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0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9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4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</w:tr>
      <w:tr>
        <w:trPr>
          <w:trHeight w:val="66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14006,6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-75058,5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75058,5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С-23-2 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93"/>
        <w:gridCol w:w="808"/>
        <w:gridCol w:w="9743"/>
        <w:gridCol w:w="188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43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1411135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322863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160504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160504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141158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106031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5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45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5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5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1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 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</w:p>
        </w:tc>
      </w:tr>
      <w:tr>
        <w:trPr>
          <w:trHeight w:val="12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  учреждениями, финансируемыми из государственного бюджета, а также содержащимся и финансируемыми из бюджета (сметы расходов) Национального Банка РК за исключением  поступлений от предприятий нефтяного сектора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1067925</w:t>
            </w:r>
          </w:p>
        </w:tc>
      </w:tr>
      <w:tr>
        <w:trPr>
          <w:trHeight w:val="5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1067925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14"/>
        <w:gridCol w:w="856"/>
        <w:gridCol w:w="9137"/>
        <w:gridCol w:w="1868"/>
      </w:tblGrid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1411135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160100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37550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89422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88893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1030517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1030517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951932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40392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71118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района(города областного значения 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71118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  местных представительных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 инвалидов, воспитывающихся и обучающихся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11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10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соревнованиях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  деятельности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С-23-2 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592"/>
        <w:gridCol w:w="1021"/>
        <w:gridCol w:w="9492"/>
        <w:gridCol w:w="192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43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1604380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332954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164607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164607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145651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107927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36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45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94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39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0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2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8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2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 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12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  учреждениями, финансируемыми из государственного бюджета, а также содержащимся и финансируемыми из бюджета (сметы расходов) Национального Банка РК за исключением  поступлений от предприятий нефтяного сектора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36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1249579</w:t>
            </w:r>
          </w:p>
        </w:tc>
      </w:tr>
      <w:tr>
        <w:trPr>
          <w:trHeight w:val="51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1249579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794"/>
        <w:gridCol w:w="878"/>
        <w:gridCol w:w="9299"/>
        <w:gridCol w:w="1893"/>
      </w:tblGrid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1604380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183338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45858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45858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9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9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1173147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1173147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1085072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80110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80110</w:t>
            </w:r>
          </w:p>
        </w:tc>
      </w:tr>
      <w:tr>
        <w:trPr>
          <w:trHeight w:val="10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 инвалидов, воспитывающихся 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9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74261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56165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9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  значения)уровне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9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9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С-23-2 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3"/>
      </w:tblGrid>
      <w:tr>
        <w:trPr>
          <w:trHeight w:val="165" w:hRule="atLeast"/>
        </w:trPr>
        <w:tc>
          <w:tcPr>
            <w:tcW w:w="1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165" w:hRule="atLeast"/>
        </w:trPr>
        <w:tc>
          <w:tcPr>
            <w:tcW w:w="1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65" w:hRule="atLeast"/>
        </w:trPr>
        <w:tc>
          <w:tcPr>
            <w:tcW w:w="1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1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С-23-2 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Жаксынского районного маслихата Акмолинской области от 24.06.2010 </w:t>
      </w:r>
      <w:r>
        <w:rPr>
          <w:rFonts w:ascii="Times New Roman"/>
          <w:b w:val="false"/>
          <w:i w:val="false"/>
          <w:color w:val="ff0000"/>
          <w:sz w:val="28"/>
        </w:rPr>
        <w:t>№ С-26-3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19.11.2010 </w:t>
      </w:r>
      <w:r>
        <w:rPr>
          <w:rFonts w:ascii="Times New Roman"/>
          <w:b w:val="false"/>
          <w:i w:val="false"/>
          <w:color w:val="ff0000"/>
          <w:sz w:val="28"/>
        </w:rPr>
        <w:t>№ ВС-29-2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на 2010</w:t>
      </w:r>
      <w:r>
        <w:br/>
      </w:r>
      <w:r>
        <w:rPr>
          <w:rFonts w:ascii="Times New Roman"/>
          <w:b/>
          <w:i w:val="false"/>
          <w:color w:val="000000"/>
        </w:rPr>
        <w:t>
год аулов (сел),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93"/>
        <w:gridCol w:w="508"/>
        <w:gridCol w:w="693"/>
        <w:gridCol w:w="553"/>
        <w:gridCol w:w="6113"/>
        <w:gridCol w:w="251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149 372,0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Есильского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8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8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8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7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