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12ce" w14:textId="ff31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Акмолинской области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2009 года № 4C-19-3. Зарегистрировано Департаментом юстиции Акмолинской области 20 января 2010 года № 3345. Утратило силу - решением Акмолинского областного маслихата от 15 марта 2011 года № 4С-31-4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- решением Акмолинского областного маслихата от 15.03.2011 </w:t>
      </w:r>
      <w:r>
        <w:rPr>
          <w:rFonts w:ascii="Times New Roman"/>
          <w:b w:val="false"/>
          <w:i w:val="false"/>
          <w:color w:val="ff0000"/>
          <w:sz w:val="28"/>
        </w:rPr>
        <w:t>№ 4С-31-4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Акмолинской области на 2010 год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Акмолинского областного маслихата «Об утверждении повышенных ставок на некоторые виды платы за эмиссии в окружающую среду Акмолинской области на 2009 год» от 6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3313, опубликовано от 21 марта 2009 года в газете «Арка ажары, от 21 марта 2009 года в газете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                     Нусипов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Дощанов А.Х.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Такамбаев М.Ш.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4С-19-3 от 10 декабря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>
среду Акмолинской области на 2010 год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462"/>
        <w:gridCol w:w="4149"/>
        <w:gridCol w:w="3836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7908"/>
        <w:gridCol w:w="3846"/>
      </w:tblGrid>
      <w:tr>
        <w:trPr>
          <w:trHeight w:val="30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(МРП)</w:t>
            </w:r>
          </w:p>
        </w:tc>
      </w:tr>
      <w:tr>
        <w:trPr>
          <w:trHeight w:val="30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7628"/>
        <w:gridCol w:w="4061"/>
      </w:tblGrid>
      <w:tr>
        <w:trPr>
          <w:trHeight w:val="51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 (МРП)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  потребность в кислороде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  поверхностно-активные вещества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6213"/>
        <w:gridCol w:w="3019"/>
        <w:gridCol w:w="2767"/>
      </w:tblGrid>
      <w:tr>
        <w:trPr>
          <w:trHeight w:val="30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потребления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 в накопителях,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санкционированных свалках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отведенных местах: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отходы, канализационный или очистных сооружений)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опасности: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 гигабеккерелях (Гбк):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1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МРП -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