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dad1" w14:textId="01dd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февраля 2008 года № а-2/54 "Об установлении водоохранных зон полос озер Катарколь, Щучье, Малое Чебачье, Большое Чебачье, Боровое, Жукей, реки Нура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марта 2009 года № А-4/106. Зарегистрировано Департаментом юстиции Акмолинской области 6 апреля 2009 года № 3317.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Республики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Катарколь, Щучье, Малое Чебачье, Большое Чебачье, Боровое, Жукей, реки Нура и режима их хозяйственного использования" от 21 февраля 2008 года № а-2/54 (зарегистрировано в Реестре государственной регистрации нормативных правовых актов № 3241, опубликовано 4 марта 2008 года в газете "Акмолинская правда", 4 марта 2008 года в газете "Арка ажары")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хозяйственного использования на территории водоохранных зон и водоохранных полос озер Катарколь, Щучье, Малое Чебачье, Большое Чебачье, Боровое, Жукей, реки Нура, согласно приложению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