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69f1" w14:textId="1f76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в области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10 декабря 2009 года № 475 и Министра экономики и бюджетного планирования Республики Казахстан от 5 февраля 2010 года № 32. Зарегистрирован в Министерстве юстиции Республики Казахстан 15 февраля 2010 года № 6055. Утратил силу совместным приказом Министра внутренних дел Республики Казахстан от 15 октября 2015 года № 843 и Министра национальной экономики Республики Казахстан от 16 ноября 2015 года № 696</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15.10.2015 </w:t>
      </w:r>
      <w:r>
        <w:rPr>
          <w:rFonts w:ascii="Times New Roman"/>
          <w:b w:val="false"/>
          <w:i w:val="false"/>
          <w:color w:val="ff0000"/>
          <w:sz w:val="28"/>
        </w:rPr>
        <w:t>№ 843</w:t>
      </w:r>
      <w:r>
        <w:rPr>
          <w:rFonts w:ascii="Times New Roman"/>
          <w:b w:val="false"/>
          <w:i w:val="false"/>
          <w:color w:val="ff0000"/>
          <w:sz w:val="28"/>
        </w:rPr>
        <w:t xml:space="preserve"> и Министра национальной экономики РК от 16.11.2015 № 696.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38 Закона Республики Казахстан "О частном предпринимательстве"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рисков в области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 Комитету дорожной полиции Министерства внутренних дел Республики Казахстан (Тыныбеков К.С.)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официальном сайте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исполнение требований настоящего приказа.</w:t>
      </w:r>
      <w:r>
        <w:br/>
      </w:r>
      <w:r>
        <w:rPr>
          <w:rFonts w:ascii="Times New Roman"/>
          <w:b w:val="false"/>
          <w:i w:val="false"/>
          <w:color w:val="000000"/>
          <w:sz w:val="28"/>
        </w:rPr>
        <w:t>
</w:t>
      </w:r>
      <w:r>
        <w:rPr>
          <w:rFonts w:ascii="Times New Roman"/>
          <w:b w:val="false"/>
          <w:i w:val="false"/>
          <w:color w:val="000000"/>
          <w:sz w:val="28"/>
        </w:rPr>
        <w:t>
      3. Начальникам департаментов внутренних дел областей, городов Астаны, Алматы организовать изучение и выполнение требований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Куренбекова А.Ж.</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Министр внутренних дел              Министр экономики и</w:t>
      </w:r>
      <w:r>
        <w:br/>
      </w:r>
      <w:r>
        <w:rPr>
          <w:rFonts w:ascii="Times New Roman"/>
          <w:b w:val="false"/>
          <w:i w:val="false"/>
          <w:color w:val="000000"/>
          <w:sz w:val="28"/>
        </w:rPr>
        <w:t>
</w:t>
      </w:r>
      <w:r>
        <w:rPr>
          <w:rFonts w:ascii="Times New Roman"/>
          <w:b w:val="false"/>
          <w:i/>
          <w:color w:val="000000"/>
          <w:sz w:val="28"/>
        </w:rPr>
        <w:t>      Республики Казахстан                бюджетного планирования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С. Баймаганбетов   _______________ Б. Султанов</w:t>
      </w:r>
    </w:p>
    <w:bookmarkStart w:name="z1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2009 года № 475</w:t>
      </w:r>
      <w:r>
        <w:br/>
      </w:r>
      <w:r>
        <w:rPr>
          <w:rFonts w:ascii="Times New Roman"/>
          <w:b w:val="false"/>
          <w:i w:val="false"/>
          <w:color w:val="000000"/>
          <w:sz w:val="28"/>
        </w:rPr>
        <w:t xml:space="preserve">
и Министра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февраля 2010 года № 32 </w:t>
      </w:r>
    </w:p>
    <w:bookmarkEnd w:id="1"/>
    <w:bookmarkStart w:name="z11" w:id="2"/>
    <w:p>
      <w:pPr>
        <w:spacing w:after="0"/>
        <w:ind w:left="0"/>
        <w:jc w:val="left"/>
      </w:pPr>
      <w:r>
        <w:rPr>
          <w:rFonts w:ascii="Times New Roman"/>
          <w:b/>
          <w:i w:val="false"/>
          <w:color w:val="000000"/>
        </w:rPr>
        <w:t xml:space="preserve"> 
Критерии</w:t>
      </w:r>
      <w:r>
        <w:br/>
      </w:r>
      <w:r>
        <w:rPr>
          <w:rFonts w:ascii="Times New Roman"/>
          <w:b/>
          <w:i w:val="false"/>
          <w:color w:val="000000"/>
        </w:rPr>
        <w:t>
оценки степени рисков в области безопасности дорожного движения</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Критерии оценки степени рисков в области безопасности дорожного движения разработаны для проведения плановых проверок подразделениями дорожной полиции органов внутренних дел (далее - дорожная полиция) субъектов, осуществляющих деятельность, связанную с эксплуатацией транспортных средств, подготовку, переподготовку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риск - вероятность возникновения дорожно-транспортных происшествий в результате: выхода на линию технически неисправных транспортных средств, а также допуска к управлению транспортными средствами водителей, состояние здоровья которых не обеспечивает безопасное управление ими; снижения качества подготовки, переподготовки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2) система оценки рисков - это комплекс мероприятий, проводимый уполномоченными на осуществление контрольных функций сотрудниками дорожной полиции, с целью планирования проверок субъектов, осуществляющих деятельность по эксплуатации транспортных средств, подготовке, переподготовке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непосредственной деятельностью субъекта, особенностями отраслевого развития и факторами, влияющими на это развитие, позволяющих отнести субъект, осуществляющий деятельность по эксплуатации транспортных средств, подготовке, переподготовке водителей транспортных средств, к различным степеням риска.</w:t>
      </w:r>
    </w:p>
    <w:bookmarkEnd w:id="4"/>
    <w:bookmarkStart w:name="z18" w:id="5"/>
    <w:p>
      <w:pPr>
        <w:spacing w:after="0"/>
        <w:ind w:left="0"/>
        <w:jc w:val="left"/>
      </w:pPr>
      <w:r>
        <w:rPr>
          <w:rFonts w:ascii="Times New Roman"/>
          <w:b/>
          <w:i w:val="false"/>
          <w:color w:val="000000"/>
        </w:rPr>
        <w:t xml:space="preserve"> 
2. Оценки рисков деятельности субъектов осуществляющих</w:t>
      </w:r>
      <w:r>
        <w:br/>
      </w:r>
      <w:r>
        <w:rPr>
          <w:rFonts w:ascii="Times New Roman"/>
          <w:b/>
          <w:i w:val="false"/>
          <w:color w:val="000000"/>
        </w:rPr>
        <w:t>
эксплуатацию транспортных средств</w:t>
      </w:r>
    </w:p>
    <w:bookmarkEnd w:id="5"/>
    <w:bookmarkStart w:name="z19" w:id="6"/>
    <w:p>
      <w:pPr>
        <w:spacing w:after="0"/>
        <w:ind w:left="0"/>
        <w:jc w:val="both"/>
      </w:pPr>
      <w:r>
        <w:rPr>
          <w:rFonts w:ascii="Times New Roman"/>
          <w:b w:val="false"/>
          <w:i w:val="false"/>
          <w:color w:val="000000"/>
          <w:sz w:val="28"/>
        </w:rPr>
        <w:t>
      4. Оценка рисков деятельности субъектов осуществляющих эксплуатацию транспортных средств, проводится в два этапа:</w:t>
      </w:r>
      <w:r>
        <w:br/>
      </w:r>
      <w:r>
        <w:rPr>
          <w:rFonts w:ascii="Times New Roman"/>
          <w:b w:val="false"/>
          <w:i w:val="false"/>
          <w:color w:val="000000"/>
          <w:sz w:val="28"/>
        </w:rPr>
        <w:t>
</w:t>
      </w:r>
      <w:r>
        <w:rPr>
          <w:rFonts w:ascii="Times New Roman"/>
          <w:b w:val="false"/>
          <w:i w:val="false"/>
          <w:color w:val="000000"/>
          <w:sz w:val="28"/>
        </w:rPr>
        <w:t>
      1) на первом этапе - исходя из значимости субъектов;</w:t>
      </w:r>
      <w:r>
        <w:br/>
      </w:r>
      <w:r>
        <w:rPr>
          <w:rFonts w:ascii="Times New Roman"/>
          <w:b w:val="false"/>
          <w:i w:val="false"/>
          <w:color w:val="000000"/>
          <w:sz w:val="28"/>
        </w:rPr>
        <w:t>
</w:t>
      </w:r>
      <w:r>
        <w:rPr>
          <w:rFonts w:ascii="Times New Roman"/>
          <w:b w:val="false"/>
          <w:i w:val="false"/>
          <w:color w:val="000000"/>
          <w:sz w:val="28"/>
        </w:rPr>
        <w:t>
      2) на втором этапе - в соответствии с критериями оценки степени рисков в области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5. Распределение субъектов по значимости:</w:t>
      </w:r>
      <w:r>
        <w:br/>
      </w:r>
      <w:r>
        <w:rPr>
          <w:rFonts w:ascii="Times New Roman"/>
          <w:b w:val="false"/>
          <w:i w:val="false"/>
          <w:color w:val="000000"/>
          <w:sz w:val="28"/>
        </w:rPr>
        <w:t>
</w:t>
      </w:r>
      <w:r>
        <w:rPr>
          <w:rFonts w:ascii="Times New Roman"/>
          <w:b w:val="false"/>
          <w:i w:val="false"/>
          <w:color w:val="000000"/>
          <w:sz w:val="28"/>
        </w:rPr>
        <w:t>
      1) к высокой степени значимости относятся субъекты:</w:t>
      </w:r>
      <w:r>
        <w:br/>
      </w:r>
      <w:r>
        <w:rPr>
          <w:rFonts w:ascii="Times New Roman"/>
          <w:b w:val="false"/>
          <w:i w:val="false"/>
          <w:color w:val="000000"/>
          <w:sz w:val="28"/>
        </w:rPr>
        <w:t>
</w:t>
      </w:r>
      <w:r>
        <w:rPr>
          <w:rFonts w:ascii="Times New Roman"/>
          <w:b w:val="false"/>
          <w:i w:val="false"/>
          <w:color w:val="000000"/>
          <w:sz w:val="28"/>
        </w:rPr>
        <w:t>
      предоставляющие услуги по перевозке пассажиров, за исключением перевозок посредством такси;</w:t>
      </w:r>
      <w:r>
        <w:br/>
      </w:r>
      <w:r>
        <w:rPr>
          <w:rFonts w:ascii="Times New Roman"/>
          <w:b w:val="false"/>
          <w:i w:val="false"/>
          <w:color w:val="000000"/>
          <w:sz w:val="28"/>
        </w:rPr>
        <w:t>
</w:t>
      </w:r>
      <w:r>
        <w:rPr>
          <w:rFonts w:ascii="Times New Roman"/>
          <w:b w:val="false"/>
          <w:i w:val="false"/>
          <w:color w:val="000000"/>
          <w:sz w:val="28"/>
        </w:rPr>
        <w:t>
      предоставляющие услуги по перевозке грузов, и не имеющие условий для контроля за техническим состоянием транспортных средств и проведения предрейсового медицинского осмотра водителей;</w:t>
      </w:r>
      <w:r>
        <w:br/>
      </w:r>
      <w:r>
        <w:rPr>
          <w:rFonts w:ascii="Times New Roman"/>
          <w:b w:val="false"/>
          <w:i w:val="false"/>
          <w:color w:val="000000"/>
          <w:sz w:val="28"/>
        </w:rPr>
        <w:t>
</w:t>
      </w:r>
      <w:r>
        <w:rPr>
          <w:rFonts w:ascii="Times New Roman"/>
          <w:b w:val="false"/>
          <w:i w:val="false"/>
          <w:color w:val="000000"/>
          <w:sz w:val="28"/>
        </w:rPr>
        <w:t>
      2) к средней степени значимости относятся субъекты:</w:t>
      </w:r>
      <w:r>
        <w:br/>
      </w:r>
      <w:r>
        <w:rPr>
          <w:rFonts w:ascii="Times New Roman"/>
          <w:b w:val="false"/>
          <w:i w:val="false"/>
          <w:color w:val="000000"/>
          <w:sz w:val="28"/>
        </w:rPr>
        <w:t>
</w:t>
      </w:r>
      <w:r>
        <w:rPr>
          <w:rFonts w:ascii="Times New Roman"/>
          <w:b w:val="false"/>
          <w:i w:val="false"/>
          <w:color w:val="000000"/>
          <w:sz w:val="28"/>
        </w:rPr>
        <w:t>
      предоставляющие услуги по перевозке грузов, и имеющие условия для контроля за техническим состоянием транспортных средств и проведения предрейсового медицинского осмотра водителей;</w:t>
      </w:r>
      <w:r>
        <w:br/>
      </w:r>
      <w:r>
        <w:rPr>
          <w:rFonts w:ascii="Times New Roman"/>
          <w:b w:val="false"/>
          <w:i w:val="false"/>
          <w:color w:val="000000"/>
          <w:sz w:val="28"/>
        </w:rPr>
        <w:t>
</w:t>
      </w:r>
      <w:r>
        <w:rPr>
          <w:rFonts w:ascii="Times New Roman"/>
          <w:b w:val="false"/>
          <w:i w:val="false"/>
          <w:color w:val="000000"/>
          <w:sz w:val="28"/>
        </w:rPr>
        <w:t>
      предоставляющие услуги по перевозке посредством такси;</w:t>
      </w:r>
      <w:r>
        <w:br/>
      </w:r>
      <w:r>
        <w:rPr>
          <w:rFonts w:ascii="Times New Roman"/>
          <w:b w:val="false"/>
          <w:i w:val="false"/>
          <w:color w:val="000000"/>
          <w:sz w:val="28"/>
        </w:rPr>
        <w:t>
</w:t>
      </w:r>
      <w:r>
        <w:rPr>
          <w:rFonts w:ascii="Times New Roman"/>
          <w:b w:val="false"/>
          <w:i w:val="false"/>
          <w:color w:val="000000"/>
          <w:sz w:val="28"/>
        </w:rPr>
        <w:t>
      3) к незначительной степени значимости относятся субъекты:</w:t>
      </w:r>
      <w:r>
        <w:br/>
      </w:r>
      <w:r>
        <w:rPr>
          <w:rFonts w:ascii="Times New Roman"/>
          <w:b w:val="false"/>
          <w:i w:val="false"/>
          <w:color w:val="000000"/>
          <w:sz w:val="28"/>
        </w:rPr>
        <w:t>
</w:t>
      </w:r>
      <w:r>
        <w:rPr>
          <w:rFonts w:ascii="Times New Roman"/>
          <w:b w:val="false"/>
          <w:i w:val="false"/>
          <w:color w:val="000000"/>
          <w:sz w:val="28"/>
        </w:rPr>
        <w:t>
      осуществляющие иную деятельность, связанную с эксплуатацией транспортных средств (автоперевозчики почты, строительные, дорожные организации).</w:t>
      </w:r>
      <w:r>
        <w:br/>
      </w:r>
      <w:r>
        <w:rPr>
          <w:rFonts w:ascii="Times New Roman"/>
          <w:b w:val="false"/>
          <w:i w:val="false"/>
          <w:color w:val="000000"/>
          <w:sz w:val="28"/>
        </w:rPr>
        <w:t>
</w:t>
      </w:r>
      <w:r>
        <w:rPr>
          <w:rFonts w:ascii="Times New Roman"/>
          <w:b w:val="false"/>
          <w:i w:val="false"/>
          <w:color w:val="000000"/>
          <w:sz w:val="28"/>
        </w:rPr>
        <w:t>
      6. В зависимости от степени значимости субъекты относятся к группам высокого, среднего либо незначительного риска соответствующей периодичностью проведения плановых проверок, но не чаще:</w:t>
      </w:r>
      <w:r>
        <w:br/>
      </w:r>
      <w:r>
        <w:rPr>
          <w:rFonts w:ascii="Times New Roman"/>
          <w:b w:val="false"/>
          <w:i w:val="false"/>
          <w:color w:val="000000"/>
          <w:sz w:val="28"/>
        </w:rPr>
        <w:t>
</w:t>
      </w:r>
      <w:r>
        <w:rPr>
          <w:rFonts w:ascii="Times New Roman"/>
          <w:b w:val="false"/>
          <w:i w:val="false"/>
          <w:color w:val="000000"/>
          <w:sz w:val="28"/>
        </w:rPr>
        <w:t>
      одного раза в год - при высокой степени риска;</w:t>
      </w:r>
      <w:r>
        <w:br/>
      </w:r>
      <w:r>
        <w:rPr>
          <w:rFonts w:ascii="Times New Roman"/>
          <w:b w:val="false"/>
          <w:i w:val="false"/>
          <w:color w:val="000000"/>
          <w:sz w:val="28"/>
        </w:rPr>
        <w:t>
</w:t>
      </w:r>
      <w:r>
        <w:rPr>
          <w:rFonts w:ascii="Times New Roman"/>
          <w:b w:val="false"/>
          <w:i w:val="false"/>
          <w:color w:val="000000"/>
          <w:sz w:val="28"/>
        </w:rPr>
        <w:t>
      одного раза в три года - при средней степени риска;</w:t>
      </w:r>
      <w:r>
        <w:br/>
      </w:r>
      <w:r>
        <w:rPr>
          <w:rFonts w:ascii="Times New Roman"/>
          <w:b w:val="false"/>
          <w:i w:val="false"/>
          <w:color w:val="000000"/>
          <w:sz w:val="28"/>
        </w:rPr>
        <w:t>
</w:t>
      </w:r>
      <w:r>
        <w:rPr>
          <w:rFonts w:ascii="Times New Roman"/>
          <w:b w:val="false"/>
          <w:i w:val="false"/>
          <w:color w:val="000000"/>
          <w:sz w:val="28"/>
        </w:rPr>
        <w:t>
      одного раза в пять лет - при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7. На втором этапе субъекты будут перераспределены в зависимости от критериев оценки степени рисков в области безопасности дорожного движения.</w:t>
      </w:r>
    </w:p>
    <w:bookmarkEnd w:id="6"/>
    <w:bookmarkStart w:name="z36" w:id="7"/>
    <w:p>
      <w:pPr>
        <w:spacing w:after="0"/>
        <w:ind w:left="0"/>
        <w:jc w:val="left"/>
      </w:pPr>
      <w:r>
        <w:rPr>
          <w:rFonts w:ascii="Times New Roman"/>
          <w:b/>
          <w:i w:val="false"/>
          <w:color w:val="000000"/>
        </w:rPr>
        <w:t xml:space="preserve"> 
3. Критерии оценки степени рисков деятельности субъектов</w:t>
      </w:r>
      <w:r>
        <w:br/>
      </w:r>
      <w:r>
        <w:rPr>
          <w:rFonts w:ascii="Times New Roman"/>
          <w:b/>
          <w:i w:val="false"/>
          <w:color w:val="000000"/>
        </w:rPr>
        <w:t>
осуществляющих эксплуатацию транспортных средств</w:t>
      </w:r>
    </w:p>
    <w:bookmarkEnd w:id="7"/>
    <w:bookmarkStart w:name="z37" w:id="8"/>
    <w:p>
      <w:pPr>
        <w:spacing w:after="0"/>
        <w:ind w:left="0"/>
        <w:jc w:val="both"/>
      </w:pPr>
      <w:r>
        <w:rPr>
          <w:rFonts w:ascii="Times New Roman"/>
          <w:b w:val="false"/>
          <w:i w:val="false"/>
          <w:color w:val="000000"/>
          <w:sz w:val="28"/>
        </w:rPr>
        <w:t>
      8. С целью применения критериев оценки степени рисков, используются данные дорожной полиции о совершенных правонарушениях в области безопасности дорожного движения, обобщенные за год, в том числе, полученные по результатам внеплановых проверок.</w:t>
      </w:r>
      <w:r>
        <w:br/>
      </w:r>
      <w:r>
        <w:rPr>
          <w:rFonts w:ascii="Times New Roman"/>
          <w:b w:val="false"/>
          <w:i w:val="false"/>
          <w:color w:val="000000"/>
          <w:sz w:val="28"/>
        </w:rPr>
        <w:t>
</w:t>
      </w:r>
      <w:r>
        <w:rPr>
          <w:rFonts w:ascii="Times New Roman"/>
          <w:b w:val="false"/>
          <w:i w:val="false"/>
          <w:color w:val="000000"/>
          <w:sz w:val="28"/>
        </w:rPr>
        <w:t>
      9. В зависимости от критериев оценки степени рисков субъекты могут быть переведены в высокий или средний уровни риска. Кроме этого, субъекты, представляющие услуги по перевозке грузов, получат возможность с высокой перейти в группу среднего риска, в случае создания ими условий для контроля за техническим состоянием транспортных средств и проведения предрейсового медицинского осмотра водителей.</w:t>
      </w:r>
      <w:r>
        <w:br/>
      </w:r>
      <w:r>
        <w:rPr>
          <w:rFonts w:ascii="Times New Roman"/>
          <w:b w:val="false"/>
          <w:i w:val="false"/>
          <w:color w:val="000000"/>
          <w:sz w:val="28"/>
        </w:rPr>
        <w:t>
</w:t>
      </w:r>
      <w:r>
        <w:rPr>
          <w:rFonts w:ascii="Times New Roman"/>
          <w:b w:val="false"/>
          <w:i w:val="false"/>
          <w:color w:val="000000"/>
          <w:sz w:val="28"/>
        </w:rPr>
        <w:t>
      10. Субъекты переводятся в высокую степень риска при:</w:t>
      </w:r>
      <w:r>
        <w:br/>
      </w:r>
      <w:r>
        <w:rPr>
          <w:rFonts w:ascii="Times New Roman"/>
          <w:b w:val="false"/>
          <w:i w:val="false"/>
          <w:color w:val="000000"/>
          <w:sz w:val="28"/>
        </w:rPr>
        <w:t>
</w:t>
      </w:r>
      <w:r>
        <w:rPr>
          <w:rFonts w:ascii="Times New Roman"/>
          <w:b w:val="false"/>
          <w:i w:val="false"/>
          <w:color w:val="000000"/>
          <w:sz w:val="28"/>
        </w:rPr>
        <w:t>
      1) нарушении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повлекшем по неосторожности причинение тяжкого или средней тяжести вреда здоровью человека или смерть человека;</w:t>
      </w:r>
      <w:r>
        <w:br/>
      </w:r>
      <w:r>
        <w:rPr>
          <w:rFonts w:ascii="Times New Roman"/>
          <w:b w:val="false"/>
          <w:i w:val="false"/>
          <w:color w:val="000000"/>
          <w:sz w:val="28"/>
        </w:rPr>
        <w:t>
</w:t>
      </w:r>
      <w:r>
        <w:rPr>
          <w:rFonts w:ascii="Times New Roman"/>
          <w:b w:val="false"/>
          <w:i w:val="false"/>
          <w:color w:val="000000"/>
          <w:sz w:val="28"/>
        </w:rPr>
        <w:t>
      2) допуске к управлению транспортным средством водителя, находящегося в состоянии опьянения, либо лица, не имеющего права управления.</w:t>
      </w:r>
      <w:r>
        <w:br/>
      </w:r>
      <w:r>
        <w:rPr>
          <w:rFonts w:ascii="Times New Roman"/>
          <w:b w:val="false"/>
          <w:i w:val="false"/>
          <w:color w:val="000000"/>
          <w:sz w:val="28"/>
        </w:rPr>
        <w:t>
</w:t>
      </w:r>
      <w:r>
        <w:rPr>
          <w:rFonts w:ascii="Times New Roman"/>
          <w:b w:val="false"/>
          <w:i w:val="false"/>
          <w:color w:val="000000"/>
          <w:sz w:val="28"/>
        </w:rPr>
        <w:t>
      11. Субъекты переводятся в последующую более высокую группу риска при:</w:t>
      </w:r>
      <w:r>
        <w:br/>
      </w:r>
      <w:r>
        <w:rPr>
          <w:rFonts w:ascii="Times New Roman"/>
          <w:b w:val="false"/>
          <w:i w:val="false"/>
          <w:color w:val="000000"/>
          <w:sz w:val="28"/>
        </w:rPr>
        <w:t>
</w:t>
      </w:r>
      <w:r>
        <w:rPr>
          <w:rFonts w:ascii="Times New Roman"/>
          <w:b w:val="false"/>
          <w:i w:val="false"/>
          <w:color w:val="000000"/>
          <w:sz w:val="28"/>
        </w:rPr>
        <w:t>
      1) нарушении водителем транспортного средства установленных правил обеспечения безопасности дорожного движения, повлекшем повреждение транспортных средств, грузов, дорог, дорожных и других сооружений или иного имущества, причинившего материальный ущерб, а также не имеющие признаков уголовно наказуемого деяния, повлекшие причинение потерпевшему вреда здоровью;</w:t>
      </w:r>
      <w:r>
        <w:br/>
      </w:r>
      <w:r>
        <w:rPr>
          <w:rFonts w:ascii="Times New Roman"/>
          <w:b w:val="false"/>
          <w:i w:val="false"/>
          <w:color w:val="000000"/>
          <w:sz w:val="28"/>
        </w:rPr>
        <w:t>
</w:t>
      </w:r>
      <w:r>
        <w:rPr>
          <w:rFonts w:ascii="Times New Roman"/>
          <w:b w:val="false"/>
          <w:i w:val="false"/>
          <w:color w:val="000000"/>
          <w:sz w:val="28"/>
        </w:rPr>
        <w:t>
      2) выпуске в эксплуатацию транспортных средств, имеющих технические неисправности, и иные нарушения правил эксплуатации.</w:t>
      </w:r>
      <w:r>
        <w:br/>
      </w:r>
      <w:r>
        <w:rPr>
          <w:rFonts w:ascii="Times New Roman"/>
          <w:b w:val="false"/>
          <w:i w:val="false"/>
          <w:color w:val="000000"/>
          <w:sz w:val="28"/>
        </w:rPr>
        <w:t>
</w:t>
      </w:r>
      <w:r>
        <w:rPr>
          <w:rFonts w:ascii="Times New Roman"/>
          <w:b w:val="false"/>
          <w:i w:val="false"/>
          <w:color w:val="000000"/>
          <w:sz w:val="28"/>
        </w:rPr>
        <w:t>
      12. Основаниями для первоочередности планирования проверок субъектов одного уровня риска являются количество:</w:t>
      </w:r>
      <w:r>
        <w:br/>
      </w:r>
      <w:r>
        <w:rPr>
          <w:rFonts w:ascii="Times New Roman"/>
          <w:b w:val="false"/>
          <w:i w:val="false"/>
          <w:color w:val="000000"/>
          <w:sz w:val="28"/>
        </w:rPr>
        <w:t>
</w:t>
      </w:r>
      <w:r>
        <w:rPr>
          <w:rFonts w:ascii="Times New Roman"/>
          <w:b w:val="false"/>
          <w:i w:val="false"/>
          <w:color w:val="000000"/>
          <w:sz w:val="28"/>
        </w:rPr>
        <w:t>
      1) совершенных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2) совершенных правонарушений в сфере дорожного движения;</w:t>
      </w:r>
      <w:r>
        <w:br/>
      </w:r>
      <w:r>
        <w:rPr>
          <w:rFonts w:ascii="Times New Roman"/>
          <w:b w:val="false"/>
          <w:i w:val="false"/>
          <w:color w:val="000000"/>
          <w:sz w:val="28"/>
        </w:rPr>
        <w:t>
</w:t>
      </w:r>
      <w:r>
        <w:rPr>
          <w:rFonts w:ascii="Times New Roman"/>
          <w:b w:val="false"/>
          <w:i w:val="false"/>
          <w:color w:val="000000"/>
          <w:sz w:val="28"/>
        </w:rPr>
        <w:t>
      3) выявленных нарушений при внеплановых проверках;</w:t>
      </w:r>
      <w:r>
        <w:br/>
      </w:r>
      <w:r>
        <w:rPr>
          <w:rFonts w:ascii="Times New Roman"/>
          <w:b w:val="false"/>
          <w:i w:val="false"/>
          <w:color w:val="000000"/>
          <w:sz w:val="28"/>
        </w:rPr>
        <w:t>
</w:t>
      </w:r>
      <w:r>
        <w:rPr>
          <w:rFonts w:ascii="Times New Roman"/>
          <w:b w:val="false"/>
          <w:i w:val="false"/>
          <w:color w:val="000000"/>
          <w:sz w:val="28"/>
        </w:rPr>
        <w:t>
      4) транспортных средств.</w:t>
      </w:r>
      <w:r>
        <w:br/>
      </w:r>
      <w:r>
        <w:rPr>
          <w:rFonts w:ascii="Times New Roman"/>
          <w:b w:val="false"/>
          <w:i w:val="false"/>
          <w:color w:val="000000"/>
          <w:sz w:val="28"/>
        </w:rPr>
        <w:t>
</w:t>
      </w:r>
      <w:r>
        <w:rPr>
          <w:rFonts w:ascii="Times New Roman"/>
          <w:b w:val="false"/>
          <w:i w:val="false"/>
          <w:color w:val="000000"/>
          <w:sz w:val="28"/>
        </w:rPr>
        <w:t>
      Чем больше количество, тем субъект имеет больший приоритет для проверки.</w:t>
      </w:r>
    </w:p>
    <w:bookmarkEnd w:id="8"/>
    <w:bookmarkStart w:name="z51" w:id="9"/>
    <w:p>
      <w:pPr>
        <w:spacing w:after="0"/>
        <w:ind w:left="0"/>
        <w:jc w:val="left"/>
      </w:pPr>
      <w:r>
        <w:rPr>
          <w:rFonts w:ascii="Times New Roman"/>
          <w:b/>
          <w:i w:val="false"/>
          <w:color w:val="000000"/>
        </w:rPr>
        <w:t xml:space="preserve"> 
4. Оценки рисков деятельности субъектов осуществляющих подготовку, переподготовку водителей транспортных средств</w:t>
      </w:r>
    </w:p>
    <w:bookmarkEnd w:id="9"/>
    <w:bookmarkStart w:name="z52" w:id="10"/>
    <w:p>
      <w:pPr>
        <w:spacing w:after="0"/>
        <w:ind w:left="0"/>
        <w:jc w:val="both"/>
      </w:pPr>
      <w:r>
        <w:rPr>
          <w:rFonts w:ascii="Times New Roman"/>
          <w:b w:val="false"/>
          <w:i w:val="false"/>
          <w:color w:val="000000"/>
          <w:sz w:val="28"/>
        </w:rPr>
        <w:t>
      13. Субъекты, осуществляющие подготовку, переподготовку водителей транспортных средств, относятся к незначительной степени риска - для них периодичность проведения плановых проверок определяется не чаще одного раза в пять лет, с последующим перераспределением субъектов к группам высокого или среднего степеней рисков в зависимости от критериев оценки степени рисков с периодичностью проведения плановых проверок, но не чаще:</w:t>
      </w:r>
      <w:r>
        <w:br/>
      </w:r>
      <w:r>
        <w:rPr>
          <w:rFonts w:ascii="Times New Roman"/>
          <w:b w:val="false"/>
          <w:i w:val="false"/>
          <w:color w:val="000000"/>
          <w:sz w:val="28"/>
        </w:rPr>
        <w:t>
</w:t>
      </w:r>
      <w:r>
        <w:rPr>
          <w:rFonts w:ascii="Times New Roman"/>
          <w:b w:val="false"/>
          <w:i w:val="false"/>
          <w:color w:val="000000"/>
          <w:sz w:val="28"/>
        </w:rPr>
        <w:t>
      одного раза в год - при высокой степени риска;</w:t>
      </w:r>
      <w:r>
        <w:br/>
      </w:r>
      <w:r>
        <w:rPr>
          <w:rFonts w:ascii="Times New Roman"/>
          <w:b w:val="false"/>
          <w:i w:val="false"/>
          <w:color w:val="000000"/>
          <w:sz w:val="28"/>
        </w:rPr>
        <w:t>
</w:t>
      </w:r>
      <w:r>
        <w:rPr>
          <w:rFonts w:ascii="Times New Roman"/>
          <w:b w:val="false"/>
          <w:i w:val="false"/>
          <w:color w:val="000000"/>
          <w:sz w:val="28"/>
        </w:rPr>
        <w:t>
      одного раза в три года - при средней степени риска.</w:t>
      </w:r>
    </w:p>
    <w:bookmarkEnd w:id="10"/>
    <w:bookmarkStart w:name="z55" w:id="11"/>
    <w:p>
      <w:pPr>
        <w:spacing w:after="0"/>
        <w:ind w:left="0"/>
        <w:jc w:val="left"/>
      </w:pPr>
      <w:r>
        <w:rPr>
          <w:rFonts w:ascii="Times New Roman"/>
          <w:b/>
          <w:i w:val="false"/>
          <w:color w:val="000000"/>
        </w:rPr>
        <w:t xml:space="preserve"> 
5. Критерии оценки степени рисков деятельности субъектов</w:t>
      </w:r>
      <w:r>
        <w:br/>
      </w:r>
      <w:r>
        <w:rPr>
          <w:rFonts w:ascii="Times New Roman"/>
          <w:b/>
          <w:i w:val="false"/>
          <w:color w:val="000000"/>
        </w:rPr>
        <w:t>
осуществляющих подготовку, переподготовку водителей</w:t>
      </w:r>
      <w:r>
        <w:br/>
      </w:r>
      <w:r>
        <w:rPr>
          <w:rFonts w:ascii="Times New Roman"/>
          <w:b/>
          <w:i w:val="false"/>
          <w:color w:val="000000"/>
        </w:rPr>
        <w:t>
транспортных средств</w:t>
      </w:r>
    </w:p>
    <w:bookmarkEnd w:id="11"/>
    <w:bookmarkStart w:name="z56" w:id="12"/>
    <w:p>
      <w:pPr>
        <w:spacing w:after="0"/>
        <w:ind w:left="0"/>
        <w:jc w:val="both"/>
      </w:pPr>
      <w:r>
        <w:rPr>
          <w:rFonts w:ascii="Times New Roman"/>
          <w:b w:val="false"/>
          <w:i w:val="false"/>
          <w:color w:val="000000"/>
          <w:sz w:val="28"/>
        </w:rPr>
        <w:t>
      14. С целью применения критериев оценки степени рисков, используются данные дорожной полиции, о результатах сдачи практического или теоретического экзамена с первого раза курсантами субъекта в дорожной полиции на знание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1997 года № 1650 (далее - Правила дорожного движения), обобщенные за год.</w:t>
      </w:r>
      <w:r>
        <w:br/>
      </w:r>
      <w:r>
        <w:rPr>
          <w:rFonts w:ascii="Times New Roman"/>
          <w:b w:val="false"/>
          <w:i w:val="false"/>
          <w:color w:val="000000"/>
          <w:sz w:val="28"/>
        </w:rPr>
        <w:t>
</w:t>
      </w:r>
      <w:r>
        <w:rPr>
          <w:rFonts w:ascii="Times New Roman"/>
          <w:b w:val="false"/>
          <w:i w:val="false"/>
          <w:color w:val="000000"/>
          <w:sz w:val="28"/>
        </w:rPr>
        <w:t>
      15. В зависимости от критериев оценки степени рисков субъекты переводятся:</w:t>
      </w:r>
      <w:r>
        <w:br/>
      </w:r>
      <w:r>
        <w:rPr>
          <w:rFonts w:ascii="Times New Roman"/>
          <w:b w:val="false"/>
          <w:i w:val="false"/>
          <w:color w:val="000000"/>
          <w:sz w:val="28"/>
        </w:rPr>
        <w:t>
</w:t>
      </w:r>
      <w:r>
        <w:rPr>
          <w:rFonts w:ascii="Times New Roman"/>
          <w:b w:val="false"/>
          <w:i w:val="false"/>
          <w:color w:val="000000"/>
          <w:sz w:val="28"/>
        </w:rPr>
        <w:t>
      1) в высокую степень риска, если количество курсантов, сдавших с первого раза в дорожной полиции практический или теоретический экзамен на знание Правил дорожного движения составляет менее 50 %;</w:t>
      </w:r>
      <w:r>
        <w:br/>
      </w:r>
      <w:r>
        <w:rPr>
          <w:rFonts w:ascii="Times New Roman"/>
          <w:b w:val="false"/>
          <w:i w:val="false"/>
          <w:color w:val="000000"/>
          <w:sz w:val="28"/>
        </w:rPr>
        <w:t>
</w:t>
      </w:r>
      <w:r>
        <w:rPr>
          <w:rFonts w:ascii="Times New Roman"/>
          <w:b w:val="false"/>
          <w:i w:val="false"/>
          <w:color w:val="000000"/>
          <w:sz w:val="28"/>
        </w:rPr>
        <w:t>
      2) в среднюю степень риска, если количество курсантов, сдавших с первого раза в дорожной полиции практический или теоретический экзамен на знание Правил дорожного движения составляет от 50 % до 80 %;</w:t>
      </w:r>
      <w:r>
        <w:br/>
      </w:r>
      <w:r>
        <w:rPr>
          <w:rFonts w:ascii="Times New Roman"/>
          <w:b w:val="false"/>
          <w:i w:val="false"/>
          <w:color w:val="000000"/>
          <w:sz w:val="28"/>
        </w:rPr>
        <w:t>
</w:t>
      </w:r>
      <w:r>
        <w:rPr>
          <w:rFonts w:ascii="Times New Roman"/>
          <w:b w:val="false"/>
          <w:i w:val="false"/>
          <w:color w:val="000000"/>
          <w:sz w:val="28"/>
        </w:rPr>
        <w:t>
      3) в незначительную степень риска, если количество курсантов, сдавших с первого раза в дорожной полиции практический или теоретический экзамен на знание Правил дорожного движения составляет 80 % и более.</w:t>
      </w:r>
      <w:r>
        <w:br/>
      </w:r>
      <w:r>
        <w:rPr>
          <w:rFonts w:ascii="Times New Roman"/>
          <w:b w:val="false"/>
          <w:i w:val="false"/>
          <w:color w:val="000000"/>
          <w:sz w:val="28"/>
        </w:rPr>
        <w:t>
</w:t>
      </w:r>
      <w:r>
        <w:rPr>
          <w:rFonts w:ascii="Times New Roman"/>
          <w:b w:val="false"/>
          <w:i w:val="false"/>
          <w:color w:val="000000"/>
          <w:sz w:val="28"/>
        </w:rPr>
        <w:t>
      16. Основаниями для первоочередности планирования проверок субъектов одного уровня риска являются количество:</w:t>
      </w:r>
      <w:r>
        <w:br/>
      </w:r>
      <w:r>
        <w:rPr>
          <w:rFonts w:ascii="Times New Roman"/>
          <w:b w:val="false"/>
          <w:i w:val="false"/>
          <w:color w:val="000000"/>
          <w:sz w:val="28"/>
        </w:rPr>
        <w:t>
</w:t>
      </w:r>
      <w:r>
        <w:rPr>
          <w:rFonts w:ascii="Times New Roman"/>
          <w:b w:val="false"/>
          <w:i w:val="false"/>
          <w:color w:val="000000"/>
          <w:sz w:val="28"/>
        </w:rPr>
        <w:t>
      1) выявленных нарушений при внеплановых проверках;</w:t>
      </w:r>
      <w:r>
        <w:br/>
      </w:r>
      <w:r>
        <w:rPr>
          <w:rFonts w:ascii="Times New Roman"/>
          <w:b w:val="false"/>
          <w:i w:val="false"/>
          <w:color w:val="000000"/>
          <w:sz w:val="28"/>
        </w:rPr>
        <w:t>
</w:t>
      </w:r>
      <w:r>
        <w:rPr>
          <w:rFonts w:ascii="Times New Roman"/>
          <w:b w:val="false"/>
          <w:i w:val="false"/>
          <w:color w:val="000000"/>
          <w:sz w:val="28"/>
        </w:rPr>
        <w:t>
      2) подготавливаемых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Чем больше количество, тем субъект имеет больший приоритет для проверки.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