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db59" w14:textId="111d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2009 года № 85. Зарегистрировано в Министерстве юстиции Республики Казахстан 2 октября 2009 года № 5806</w:t>
      </w:r>
    </w:p>
    <w:p>
      <w:pPr>
        <w:spacing w:after="0"/>
        <w:ind w:left="0"/>
        <w:jc w:val="both"/>
      </w:pPr>
      <w:bookmarkStart w:name="z1" w:id="0"/>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законодательства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от 11 июля 2009 года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постановления Правления Национального Банка Республики Казахстан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его официального опубликования, за исключением абзаца девятого пункта 2 приложения к настоящему постановлению, который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3. Департаменту платежных систем (Мусаев Р.Н.):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(Сизова С.И.)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акционерного общества "Банк Развития Казахстана", организаций, осуществляющих отдельные виды банковских операций, Объединения юридических лиц "Ассоциация финансистов Казахстана" и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Департаменту организационной работы, внешних и общественных связей (Терентьев Л.А.)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Альжанова Б.А.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2009 года № 85</w:t>
      </w:r>
    </w:p>
    <w:bookmarkEnd w:id="1"/>
    <w:bookmarkStart w:name="z10" w:id="2"/>
    <w:p>
      <w:pPr>
        <w:spacing w:after="0"/>
        <w:ind w:left="0"/>
        <w:jc w:val="left"/>
      </w:pPr>
      <w:r>
        <w:rPr>
          <w:rFonts w:ascii="Times New Roman"/>
          <w:b/>
          <w:i w:val="false"/>
          <w:color w:val="000000"/>
        </w:rPr>
        <w:t xml:space="preserve"> 
Перечень постановлений Правления Национального Банка</w:t>
      </w:r>
      <w:r>
        <w:br/>
      </w:r>
      <w:r>
        <w:rPr>
          <w:rFonts w:ascii="Times New Roman"/>
          <w:b/>
          <w:i w:val="false"/>
          <w:color w:val="000000"/>
        </w:rPr>
        <w:t>
Республики Казахстан, в которые вносятся изменения и дополнения</w:t>
      </w:r>
    </w:p>
    <w:bookmarkEnd w:id="2"/>
    <w:bookmarkStart w:name="z11"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03.02.2014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постановлением Правления Национального Банка РК от 31.08.2016 </w:t>
      </w:r>
      <w:r>
        <w:rPr>
          <w:rFonts w:ascii="Times New Roman"/>
          <w:b w:val="false"/>
          <w:i w:val="false"/>
          <w:color w:val="000000"/>
          <w:sz w:val="28"/>
        </w:rPr>
        <w:t>№ 203</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Правления Национального Банка РК от 28.01.2016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