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f66e" w14:textId="2c0f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20 августа 2009 года № 04.2-44/145. Зарегистрирован в Министерстве юстиции Республики Казахстан 9 сентября 2009 года № 5781.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в "Юридической газете" от 6 июня 2008 года № 85 (1485)), с дополнениями и изменениями, внесенными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28 августа 2008 года № 04.2-09/207 "О внесении дополнений и изменений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5300, опубликованный в Бюллетене нормативных правовых актов Республики Казахстан, сентябрь 2008 года, № 9),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января 2009 года № 04.2-44/18 "О внесении изменения и дополнений в некоторые приказы Председателя Агентства Республики Казахстан по регулированию деятельности регионального финансового центра города Алматы" (зарегистрированный в Реестре государственной регистрации нормативных правовых актов под № 5529, опубликованный в "Юридической газете" от 26 февраля 2009 года № 30 (1627) и "Заң газеті" от 26 февраля 2009 года № 30 (1453)),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30 марта 2009 года № 04.2-44/84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(зарегистрированный в Реестре государственной регистрации нормативных правовых актов под № 5682, опубликованный в "Юридической газете" от 5 июня 2009 года № 84 (1681) и "Заң газеті" от 5 июня 2009 года № 84 (1507))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вышеуказанному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в подпункте 16) знак препинания «.» заменить знаком препинания «;»;</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добровольной основе на основании плана реструктуризации эмитента для оздоровления его финансового положения и улучшения качества работы.»;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в абзаце третьем подпункта 4) в тексте на русском языке слова «по истечении» заменить словами «в течение»;</w:t>
      </w:r>
      <w:r>
        <w:br/>
      </w:r>
      <w:r>
        <w:rPr>
          <w:rFonts w:ascii="Times New Roman"/>
          <w:b w:val="false"/>
          <w:i w:val="false"/>
          <w:color w:val="000000"/>
          <w:sz w:val="28"/>
        </w:rPr>
        <w:t>
      подпункт 5) дополнить абзацем следующего содержания:</w:t>
      </w:r>
      <w:r>
        <w:br/>
      </w:r>
      <w:r>
        <w:rPr>
          <w:rFonts w:ascii="Times New Roman"/>
          <w:b w:val="false"/>
          <w:i w:val="false"/>
          <w:color w:val="000000"/>
          <w:sz w:val="28"/>
        </w:rPr>
        <w:t>
      «Во время нахождения акций в данной категории официального списка допускается снижение собственного капитала эмитента до величины, равной семидесяти процентам от суммы, эквивалентной восьми миллионам пятистам шестидесяти тысячекратному размеру МРП,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подпункт 6) дополнить абзацем следующего содержания:</w:t>
      </w:r>
      <w:r>
        <w:br/>
      </w:r>
      <w:r>
        <w:rPr>
          <w:rFonts w:ascii="Times New Roman"/>
          <w:b w:val="false"/>
          <w:i w:val="false"/>
          <w:color w:val="000000"/>
          <w:sz w:val="28"/>
        </w:rPr>
        <w:t>
      «Во время нахождения акций в данной категории официального списка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МРП за каждый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в абзаце третьем подпункта 4) в тексте на русском языке слова «по истечении» заменить словами «в течение»;</w:t>
      </w:r>
      <w:r>
        <w:br/>
      </w:r>
      <w:r>
        <w:rPr>
          <w:rFonts w:ascii="Times New Roman"/>
          <w:b w:val="false"/>
          <w:i w:val="false"/>
          <w:color w:val="000000"/>
          <w:sz w:val="28"/>
        </w:rPr>
        <w:t>
      подпункт 5) дополнить абзацем следующего содержания:</w:t>
      </w:r>
      <w:r>
        <w:br/>
      </w:r>
      <w:r>
        <w:rPr>
          <w:rFonts w:ascii="Times New Roman"/>
          <w:b w:val="false"/>
          <w:i w:val="false"/>
          <w:color w:val="000000"/>
          <w:sz w:val="28"/>
        </w:rPr>
        <w:t>
      «Во время нахождения акций в данной категории допускается снижение собственного капитала эмитента до величины, равной семидесяти процентам от суммы, эквивалентной ста семидесяти одному тысячекратному размеру МРП,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в подпункте 6) слово «каждый» заменить словом «один»;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в абзаце первом слово «две» заменить словом «три»;</w:t>
      </w:r>
      <w:r>
        <w:br/>
      </w:r>
      <w:r>
        <w:rPr>
          <w:rFonts w:ascii="Times New Roman"/>
          <w:b w:val="false"/>
          <w:i w:val="false"/>
          <w:color w:val="000000"/>
          <w:sz w:val="28"/>
        </w:rPr>
        <w:t>
      в абзаце пятом знак препинания «.» заменить знаком препинания «;»;</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буферная категория.»;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в абзаце третьем подпункта 5) в тексте на русском языке слова «по истечении» заменить словами «в течение»;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в абзаце третьем подпункта 4) в тексте на русском языке слова «по истечении» заменить словами «в течение»;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в абзаце третьем подпункта 4) слова «по истечении» заменить словами «в течение»;</w:t>
      </w:r>
      <w:r>
        <w:br/>
      </w:r>
      <w:r>
        <w:rPr>
          <w:rFonts w:ascii="Times New Roman"/>
          <w:b w:val="false"/>
          <w:i w:val="false"/>
          <w:color w:val="000000"/>
          <w:sz w:val="28"/>
        </w:rPr>
        <w:t>
      в подпункте 6) слово «двух» заменить словом «трех»;</w:t>
      </w:r>
      <w:r>
        <w:br/>
      </w:r>
      <w:r>
        <w:rPr>
          <w:rFonts w:ascii="Times New Roman"/>
          <w:b w:val="false"/>
          <w:i w:val="false"/>
          <w:color w:val="000000"/>
          <w:sz w:val="28"/>
        </w:rPr>
        <w:t>
</w:t>
      </w:r>
      <w:r>
        <w:rPr>
          <w:rFonts w:ascii="Times New Roman"/>
          <w:b w:val="false"/>
          <w:i w:val="false"/>
          <w:color w:val="000000"/>
          <w:sz w:val="28"/>
        </w:rPr>
        <w:t>
      подпункт 9) исключить;</w:t>
      </w:r>
      <w:r>
        <w:br/>
      </w:r>
      <w:r>
        <w:rPr>
          <w:rFonts w:ascii="Times New Roman"/>
          <w:b w:val="false"/>
          <w:i w:val="false"/>
          <w:color w:val="000000"/>
          <w:sz w:val="28"/>
        </w:rPr>
        <w:t>
</w:t>
      </w:r>
      <w:r>
        <w:rPr>
          <w:rFonts w:ascii="Times New Roman"/>
          <w:b w:val="false"/>
          <w:i w:val="false"/>
          <w:color w:val="000000"/>
          <w:sz w:val="28"/>
        </w:rPr>
        <w:t>
      дополнить пунктами 13-1, 13-2, 13-3, 13-4, 13-5, 13-6, 13-7, 13-8, 13-9, 13-10, 13-11, 13-12, 13-13, 13-14, 13-15 и 13-16 следующего содержания:</w:t>
      </w:r>
      <w:r>
        <w:br/>
      </w:r>
      <w:r>
        <w:rPr>
          <w:rFonts w:ascii="Times New Roman"/>
          <w:b w:val="false"/>
          <w:i w:val="false"/>
          <w:color w:val="000000"/>
          <w:sz w:val="28"/>
        </w:rPr>
        <w:t>
</w:t>
      </w:r>
      <w:r>
        <w:rPr>
          <w:rFonts w:ascii="Times New Roman"/>
          <w:b w:val="false"/>
          <w:i w:val="false"/>
          <w:color w:val="000000"/>
          <w:sz w:val="28"/>
        </w:rPr>
        <w:t>
      «13-1. Перевод долговых ценных бумаг эмитента в категорию «буферная категория» сектора «долговые ценные бумаги» официального списка специальной торговой площадки финансового центра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несоответствия ценных бумаг и их эмитентов требованиям, установленным пунктами 10 и 11 настоящих Требований;</w:t>
      </w:r>
      <w:r>
        <w:br/>
      </w:r>
      <w:r>
        <w:rPr>
          <w:rFonts w:ascii="Times New Roman"/>
          <w:b w:val="false"/>
          <w:i w:val="false"/>
          <w:color w:val="000000"/>
          <w:sz w:val="28"/>
        </w:rPr>
        <w:t>
</w:t>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w:t>
      </w:r>
      <w:r>
        <w:br/>
      </w:r>
      <w:r>
        <w:rPr>
          <w:rFonts w:ascii="Times New Roman"/>
          <w:b w:val="false"/>
          <w:i w:val="false"/>
          <w:color w:val="000000"/>
          <w:sz w:val="28"/>
        </w:rPr>
        <w:t>
</w:t>
      </w:r>
      <w:r>
        <w:rPr>
          <w:rFonts w:ascii="Times New Roman"/>
          <w:b w:val="false"/>
          <w:i w:val="false"/>
          <w:color w:val="000000"/>
          <w:sz w:val="28"/>
        </w:rPr>
        <w:t>
      3) реструктуризации обязательств эмитента.</w:t>
      </w:r>
      <w:r>
        <w:br/>
      </w:r>
      <w:r>
        <w:rPr>
          <w:rFonts w:ascii="Times New Roman"/>
          <w:b w:val="false"/>
          <w:i w:val="false"/>
          <w:color w:val="000000"/>
          <w:sz w:val="28"/>
        </w:rPr>
        <w:t>
</w:t>
      </w:r>
      <w:r>
        <w:rPr>
          <w:rFonts w:ascii="Times New Roman"/>
          <w:b w:val="false"/>
          <w:i w:val="false"/>
          <w:color w:val="000000"/>
          <w:sz w:val="28"/>
        </w:rPr>
        <w:t>
      13-2. Фондовая биржа в течение трех рабочих дней с даты возникновения оснований для перевода эмитента и его ценных бумаг в категорию «буферная категория», указанных в подпункте 1) пункта 13-1 настоящих Требований, направляет эмитенту (инициатору допуска) уведомление о таком несоответствии.</w:t>
      </w:r>
      <w:r>
        <w:br/>
      </w:r>
      <w:r>
        <w:rPr>
          <w:rFonts w:ascii="Times New Roman"/>
          <w:b w:val="false"/>
          <w:i w:val="false"/>
          <w:color w:val="000000"/>
          <w:sz w:val="28"/>
        </w:rPr>
        <w:t>
</w:t>
      </w:r>
      <w:r>
        <w:rPr>
          <w:rFonts w:ascii="Times New Roman"/>
          <w:b w:val="false"/>
          <w:i w:val="false"/>
          <w:color w:val="000000"/>
          <w:sz w:val="28"/>
        </w:rPr>
        <w:t>
      13-3. При возникновении оснований для перевода ценных бумаг эмитента в категорию «буферная категория», указанных в подпункте 2) пункта 13-1 настоящих Требований, эмитент (инициатор допуска) уведомляет фондовую биржу о неисполнении обязательств по долговым ценным бумагам, установленных проспектом выпуска ценных бумаг, не позднее чем за три рабочих дня до установленной проспектом выпуска ценных бумаг даты исполнения обязательств.</w:t>
      </w:r>
      <w:r>
        <w:br/>
      </w:r>
      <w:r>
        <w:rPr>
          <w:rFonts w:ascii="Times New Roman"/>
          <w:b w:val="false"/>
          <w:i w:val="false"/>
          <w:color w:val="000000"/>
          <w:sz w:val="28"/>
        </w:rPr>
        <w:t>
</w:t>
      </w:r>
      <w:r>
        <w:rPr>
          <w:rFonts w:ascii="Times New Roman"/>
          <w:b w:val="false"/>
          <w:i w:val="false"/>
          <w:color w:val="000000"/>
          <w:sz w:val="28"/>
        </w:rPr>
        <w:t>
      13-4. Эмитент (инициатор допуска) не позднее трех рабочих дней с даты принятия решения советом директоров эмитента о реструктуризации обязательств уведомляет фондовую биржу о данном факте.</w:t>
      </w:r>
      <w:r>
        <w:br/>
      </w:r>
      <w:r>
        <w:rPr>
          <w:rFonts w:ascii="Times New Roman"/>
          <w:b w:val="false"/>
          <w:i w:val="false"/>
          <w:color w:val="000000"/>
          <w:sz w:val="28"/>
        </w:rPr>
        <w:t>
</w:t>
      </w:r>
      <w:r>
        <w:rPr>
          <w:rFonts w:ascii="Times New Roman"/>
          <w:b w:val="false"/>
          <w:i w:val="false"/>
          <w:color w:val="000000"/>
          <w:sz w:val="28"/>
        </w:rPr>
        <w:t>
      13-5. Эмитент (инициатор допуска) в течение десяти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настоящих Требований, направляет в адрес фондовой биржи план мероприятий, утвержденный советом директоров эмитента, по устранению оснований для перевода ценных бумаг эмитента в категорию «буферная категория», предусмотренных пунктом 13-1 настоящих Требований (далее - план мероприятий).</w:t>
      </w:r>
      <w:r>
        <w:br/>
      </w:r>
      <w:r>
        <w:rPr>
          <w:rFonts w:ascii="Times New Roman"/>
          <w:b w:val="false"/>
          <w:i w:val="false"/>
          <w:color w:val="000000"/>
          <w:sz w:val="28"/>
        </w:rPr>
        <w:t>
</w:t>
      </w:r>
      <w:r>
        <w:rPr>
          <w:rFonts w:ascii="Times New Roman"/>
          <w:b w:val="false"/>
          <w:i w:val="false"/>
          <w:color w:val="000000"/>
          <w:sz w:val="28"/>
        </w:rPr>
        <w:t>
      Фондовая биржа в день получения плана мероприятий размещает его на своем официальном сайте.</w:t>
      </w:r>
      <w:r>
        <w:br/>
      </w:r>
      <w:r>
        <w:rPr>
          <w:rFonts w:ascii="Times New Roman"/>
          <w:b w:val="false"/>
          <w:i w:val="false"/>
          <w:color w:val="000000"/>
          <w:sz w:val="28"/>
        </w:rPr>
        <w:t>
</w:t>
      </w:r>
      <w:r>
        <w:rPr>
          <w:rFonts w:ascii="Times New Roman"/>
          <w:b w:val="false"/>
          <w:i w:val="false"/>
          <w:color w:val="000000"/>
          <w:sz w:val="28"/>
        </w:rPr>
        <w:t>
      13-6. Фондовая биржа в течение десяти рабочих дней, следующих за датой получения плана мероприятий, рассматривает план мероприятий и принимает решение о его принятии либо отклонении.</w:t>
      </w:r>
      <w:r>
        <w:br/>
      </w:r>
      <w:r>
        <w:rPr>
          <w:rFonts w:ascii="Times New Roman"/>
          <w:b w:val="false"/>
          <w:i w:val="false"/>
          <w:color w:val="000000"/>
          <w:sz w:val="28"/>
        </w:rPr>
        <w:t>
</w:t>
      </w:r>
      <w:r>
        <w:rPr>
          <w:rFonts w:ascii="Times New Roman"/>
          <w:b w:val="false"/>
          <w:i w:val="false"/>
          <w:color w:val="000000"/>
          <w:sz w:val="28"/>
        </w:rPr>
        <w:t>
      13-7. Решение о принятии или отклонении плана мероприятий принимается органом фондовой биржи, в компетенцию которого входит рассмотрение вопросов листинга, делистинга или смены категории списка ценных бумаг и утверждается советом директоров фондовой биржи.</w:t>
      </w:r>
      <w:r>
        <w:br/>
      </w:r>
      <w:r>
        <w:rPr>
          <w:rFonts w:ascii="Times New Roman"/>
          <w:b w:val="false"/>
          <w:i w:val="false"/>
          <w:color w:val="000000"/>
          <w:sz w:val="28"/>
        </w:rPr>
        <w:t>
</w:t>
      </w:r>
      <w:r>
        <w:rPr>
          <w:rFonts w:ascii="Times New Roman"/>
          <w:b w:val="false"/>
          <w:i w:val="false"/>
          <w:color w:val="000000"/>
          <w:sz w:val="28"/>
        </w:rPr>
        <w:t>
      13-8. В случае устранения эмитентом оснований для перевода его ценных бумаг в категорию «буферная категория» либо делистинга и представления подтверждающих документов фондовой бирже до момента принятия решения о переводе в категорию «буферная категория» либо делистинге ценных бумаг, данные ценные бумаги остаются в категории официального списка специальной торговой площадки финансового центра, в которой они находились на момент совершения действий, указанных в пункте 13-1 настоящих Требований.</w:t>
      </w:r>
      <w:r>
        <w:br/>
      </w:r>
      <w:r>
        <w:rPr>
          <w:rFonts w:ascii="Times New Roman"/>
          <w:b w:val="false"/>
          <w:i w:val="false"/>
          <w:color w:val="000000"/>
          <w:sz w:val="28"/>
        </w:rPr>
        <w:t>
</w:t>
      </w:r>
      <w:r>
        <w:rPr>
          <w:rFonts w:ascii="Times New Roman"/>
          <w:b w:val="false"/>
          <w:i w:val="false"/>
          <w:color w:val="000000"/>
          <w:sz w:val="28"/>
        </w:rPr>
        <w:t>
      13-9. Максимальный срок нахождения ценных бумаг в категории «буферная категория» официального списка специальной торговой площадки финансового центра составляет двенадцать месяцев с даты принятия решения о переводе эмитента и его ценных бумаг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13-10. В период нахождения ценных бумаг в категории «буферная категория» эмитент (инициатор допуска) на ежеквартальной основе представляет организатору торгов следующую информацию:</w:t>
      </w:r>
      <w:r>
        <w:br/>
      </w:r>
      <w:r>
        <w:rPr>
          <w:rFonts w:ascii="Times New Roman"/>
          <w:b w:val="false"/>
          <w:i w:val="false"/>
          <w:color w:val="000000"/>
          <w:sz w:val="28"/>
        </w:rPr>
        <w:t>
</w:t>
      </w: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договором о листинге, содержащих в том числе сведения о существенных событиях в деятельности эмитента;</w:t>
      </w:r>
      <w:r>
        <w:br/>
      </w:r>
      <w:r>
        <w:rPr>
          <w:rFonts w:ascii="Times New Roman"/>
          <w:b w:val="false"/>
          <w:i w:val="false"/>
          <w:color w:val="000000"/>
          <w:sz w:val="28"/>
        </w:rPr>
        <w:t>
</w:t>
      </w:r>
      <w:r>
        <w:rPr>
          <w:rFonts w:ascii="Times New Roman"/>
          <w:b w:val="false"/>
          <w:i w:val="false"/>
          <w:color w:val="000000"/>
          <w:sz w:val="28"/>
        </w:rPr>
        <w:t>
      2) сведения о выполнении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13-11. В случае принятия фондовой биржей плана мероприятий все выпуски долговых ценных бумаг данного эмитента переводятся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13-12. В случае устранения оснований для перевода ценных бумаг эмитента в категорию «буферная категория», указанных в пункте 13-1 настоящих Требований, в срок, установленный пунктом 13-9 настоящих Требований, ценные бумаги переводятся из категории «буферная категория» в категорию, в которой они ранее находились на основании решения органа фондовой биржи, в компетенцию которого входит рассмотрение вопросов листинга, делистинга или смены категории списка ценных бумаг.</w:t>
      </w:r>
      <w:r>
        <w:br/>
      </w:r>
      <w:r>
        <w:rPr>
          <w:rFonts w:ascii="Times New Roman"/>
          <w:b w:val="false"/>
          <w:i w:val="false"/>
          <w:color w:val="000000"/>
          <w:sz w:val="28"/>
        </w:rPr>
        <w:t>
</w:t>
      </w:r>
      <w:r>
        <w:rPr>
          <w:rFonts w:ascii="Times New Roman"/>
          <w:b w:val="false"/>
          <w:i w:val="false"/>
          <w:color w:val="000000"/>
          <w:sz w:val="28"/>
        </w:rPr>
        <w:t>
      В случае проведения реструктуризации обязательств эмитента основанием для перевода его ценных бумаг из категории «буферная категория» в другую категорию (подкатегорию) является решение органа фондовой биржи, в компетенцию которого входит рассмотрение вопросов листинга, делистинга или смены категории списка ценных бумаг о соответствии эмитента и его ценных бумаг требованиям соответствующей категории официального списка специальной торговой площадки финансового центра.</w:t>
      </w:r>
      <w:r>
        <w:br/>
      </w:r>
      <w:r>
        <w:rPr>
          <w:rFonts w:ascii="Times New Roman"/>
          <w:b w:val="false"/>
          <w:i w:val="false"/>
          <w:color w:val="000000"/>
          <w:sz w:val="28"/>
        </w:rPr>
        <w:t>
</w:t>
      </w:r>
      <w:r>
        <w:rPr>
          <w:rFonts w:ascii="Times New Roman"/>
          <w:b w:val="false"/>
          <w:i w:val="false"/>
          <w:color w:val="000000"/>
          <w:sz w:val="28"/>
        </w:rPr>
        <w:t>
      13-13. В случае неустранения несоответствий, установленных подпунктом 1) пункта 13-1 настоящих Требований, в срок, установленный пунктом 13-9 настоящих Требований,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13-14. В случае, если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пункта 10 настоящих Требований,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13-15. В случае, если эмитент во время нахождения его ценных бумаг в категории «буферная категория» объявил о реструктуризации обязательств, его ценные бумаги остаются в категории «буферная категория».</w:t>
      </w:r>
      <w:r>
        <w:br/>
      </w:r>
      <w:r>
        <w:rPr>
          <w:rFonts w:ascii="Times New Roman"/>
          <w:b w:val="false"/>
          <w:i w:val="false"/>
          <w:color w:val="000000"/>
          <w:sz w:val="28"/>
        </w:rPr>
        <w:t>
</w:t>
      </w:r>
      <w:r>
        <w:rPr>
          <w:rFonts w:ascii="Times New Roman"/>
          <w:b w:val="false"/>
          <w:i w:val="false"/>
          <w:color w:val="000000"/>
          <w:sz w:val="28"/>
        </w:rPr>
        <w:t>
      13-16. Ценные бумаги эмитента подлежат делистингу в следующих случаях:</w:t>
      </w:r>
      <w:r>
        <w:br/>
      </w:r>
      <w:r>
        <w:rPr>
          <w:rFonts w:ascii="Times New Roman"/>
          <w:b w:val="false"/>
          <w:i w:val="false"/>
          <w:color w:val="000000"/>
          <w:sz w:val="28"/>
        </w:rPr>
        <w:t>
</w:t>
      </w:r>
      <w:r>
        <w:rPr>
          <w:rFonts w:ascii="Times New Roman"/>
          <w:b w:val="false"/>
          <w:i w:val="false"/>
          <w:color w:val="000000"/>
          <w:sz w:val="28"/>
        </w:rPr>
        <w:t>
      1) прекращения деятельности эмитента в результате реорганизации или ликвидации либо нахождения эмитента в процессе ликвидации;</w:t>
      </w:r>
      <w:r>
        <w:br/>
      </w:r>
      <w:r>
        <w:rPr>
          <w:rFonts w:ascii="Times New Roman"/>
          <w:b w:val="false"/>
          <w:i w:val="false"/>
          <w:color w:val="000000"/>
          <w:sz w:val="28"/>
        </w:rPr>
        <w:t>
</w:t>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3) несоответствия ценных бумаг и их эмитентов требованиям, установленным пунктами 10 и 11 настоящих Требований и непредставления эмитентом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4) отклонения фондовой биржей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5) дефолта эмитента по своим обязательствам во время нахождения его ценных бумаг в категории «буферная категория» в случае, если советом директоров эмитента не было принято решение о реструктуризации обязательств;</w:t>
      </w:r>
      <w:r>
        <w:br/>
      </w:r>
      <w:r>
        <w:rPr>
          <w:rFonts w:ascii="Times New Roman"/>
          <w:b w:val="false"/>
          <w:i w:val="false"/>
          <w:color w:val="000000"/>
          <w:sz w:val="28"/>
        </w:rPr>
        <w:t>
</w:t>
      </w:r>
      <w:r>
        <w:rPr>
          <w:rFonts w:ascii="Times New Roman"/>
          <w:b w:val="false"/>
          <w:i w:val="false"/>
          <w:color w:val="000000"/>
          <w:sz w:val="28"/>
        </w:rPr>
        <w:t>
      6) установления фондовой биржей факта невозможности устранения оснований, указанных в пункте 13-1 настоящих Требований;</w:t>
      </w:r>
      <w:r>
        <w:br/>
      </w:r>
      <w:r>
        <w:rPr>
          <w:rFonts w:ascii="Times New Roman"/>
          <w:b w:val="false"/>
          <w:i w:val="false"/>
          <w:color w:val="000000"/>
          <w:sz w:val="28"/>
        </w:rPr>
        <w:t>
</w:t>
      </w:r>
      <w:r>
        <w:rPr>
          <w:rFonts w:ascii="Times New Roman"/>
          <w:b w:val="false"/>
          <w:i w:val="false"/>
          <w:color w:val="000000"/>
          <w:sz w:val="28"/>
        </w:rPr>
        <w:t>
      7) неустранения оснований, указанных в пункте 13-1 в срок, установленный пунктом 13-9, с учетом требований пункта 13-13 настоящих Требований;</w:t>
      </w:r>
      <w:r>
        <w:br/>
      </w:r>
      <w:r>
        <w:rPr>
          <w:rFonts w:ascii="Times New Roman"/>
          <w:b w:val="false"/>
          <w:i w:val="false"/>
          <w:color w:val="000000"/>
          <w:sz w:val="28"/>
        </w:rPr>
        <w:t>
</w:t>
      </w:r>
      <w:r>
        <w:rPr>
          <w:rFonts w:ascii="Times New Roman"/>
          <w:b w:val="false"/>
          <w:i w:val="false"/>
          <w:color w:val="000000"/>
          <w:sz w:val="28"/>
        </w:rPr>
        <w:t>
      8)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пунктов 10 и 11 настоящих Требований с учетом требований пункта 13-14 настоящих Требований в случае, если советом директоров эмитента не было принято решение о реструктуризации обязательств;</w:t>
      </w:r>
      <w:r>
        <w:br/>
      </w:r>
      <w:r>
        <w:rPr>
          <w:rFonts w:ascii="Times New Roman"/>
          <w:b w:val="false"/>
          <w:i w:val="false"/>
          <w:color w:val="000000"/>
          <w:sz w:val="28"/>
        </w:rPr>
        <w:t>
</w:t>
      </w:r>
      <w:r>
        <w:rPr>
          <w:rFonts w:ascii="Times New Roman"/>
          <w:b w:val="false"/>
          <w:i w:val="false"/>
          <w:color w:val="000000"/>
          <w:sz w:val="28"/>
        </w:rPr>
        <w:t>
      9) признания судом эмитента банкротом;</w:t>
      </w:r>
      <w:r>
        <w:br/>
      </w:r>
      <w:r>
        <w:rPr>
          <w:rFonts w:ascii="Times New Roman"/>
          <w:b w:val="false"/>
          <w:i w:val="false"/>
          <w:color w:val="000000"/>
          <w:sz w:val="28"/>
        </w:rPr>
        <w:t>
</w:t>
      </w:r>
      <w:r>
        <w:rPr>
          <w:rFonts w:ascii="Times New Roman"/>
          <w:b w:val="false"/>
          <w:i w:val="false"/>
          <w:color w:val="000000"/>
          <w:sz w:val="28"/>
        </w:rPr>
        <w:t>
      10) ареста имущества эмитента в размере, превышающем пятьдесят процентов активов данного эмитента;</w:t>
      </w:r>
      <w:r>
        <w:br/>
      </w:r>
      <w:r>
        <w:rPr>
          <w:rFonts w:ascii="Times New Roman"/>
          <w:b w:val="false"/>
          <w:i w:val="false"/>
          <w:color w:val="000000"/>
          <w:sz w:val="28"/>
        </w:rPr>
        <w:t>
</w:t>
      </w:r>
      <w:r>
        <w:rPr>
          <w:rFonts w:ascii="Times New Roman"/>
          <w:b w:val="false"/>
          <w:i w:val="false"/>
          <w:color w:val="000000"/>
          <w:sz w:val="28"/>
        </w:rPr>
        <w:t>
      11) непредставления эмитентом (инициатором допуска) информации во время нахождения эмитента и его ценных бумаг в категории «буферная категория», перечень которой указан в пункте 13-10 настоящих Требований;</w:t>
      </w:r>
      <w:r>
        <w:br/>
      </w:r>
      <w:r>
        <w:rPr>
          <w:rFonts w:ascii="Times New Roman"/>
          <w:b w:val="false"/>
          <w:i w:val="false"/>
          <w:color w:val="000000"/>
          <w:sz w:val="28"/>
        </w:rPr>
        <w:t>
</w:t>
      </w:r>
      <w:r>
        <w:rPr>
          <w:rFonts w:ascii="Times New Roman"/>
          <w:b w:val="false"/>
          <w:i w:val="false"/>
          <w:color w:val="000000"/>
          <w:sz w:val="28"/>
        </w:rPr>
        <w:t>
      12) невыполнения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13) иных случаях, предусмотренных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в абзаце первом подпункта 9) </w:t>
      </w:r>
      <w:r>
        <w:rPr>
          <w:rFonts w:ascii="Times New Roman"/>
          <w:b w:val="false"/>
          <w:i w:val="false"/>
          <w:color w:val="000000"/>
          <w:sz w:val="28"/>
        </w:rPr>
        <w:t>пункта 14</w:t>
      </w:r>
      <w:r>
        <w:rPr>
          <w:rFonts w:ascii="Times New Roman"/>
          <w:b w:val="false"/>
          <w:i w:val="false"/>
          <w:color w:val="000000"/>
          <w:sz w:val="28"/>
        </w:rPr>
        <w:t>:</w:t>
      </w:r>
      <w:r>
        <w:br/>
      </w:r>
      <w:r>
        <w:rPr>
          <w:rFonts w:ascii="Times New Roman"/>
          <w:b w:val="false"/>
          <w:i w:val="false"/>
          <w:color w:val="000000"/>
          <w:sz w:val="28"/>
        </w:rPr>
        <w:t>
      дополнить словами «либо согласно аудиторскому отчету специального назначения по паевому инвестиционному фонду».</w:t>
      </w:r>
      <w:r>
        <w:br/>
      </w:r>
      <w:r>
        <w:rPr>
          <w:rFonts w:ascii="Times New Roman"/>
          <w:b w:val="false"/>
          <w:i w:val="false"/>
          <w:color w:val="000000"/>
          <w:sz w:val="28"/>
        </w:rPr>
        <w:t>
</w:t>
      </w:r>
      <w:r>
        <w:rPr>
          <w:rFonts w:ascii="Times New Roman"/>
          <w:b w:val="false"/>
          <w:i w:val="false"/>
          <w:color w:val="000000"/>
          <w:sz w:val="28"/>
        </w:rPr>
        <w:t>
      2. Действие абзацев девятого, десятого, одиннадцатого, двенадцатого, пятнадцатого и шестнадцатого пункта 1 настоящего приказа распространяется до 1 июля 2012 года.</w:t>
      </w:r>
      <w:r>
        <w:br/>
      </w:r>
      <w:r>
        <w:rPr>
          <w:rFonts w:ascii="Times New Roman"/>
          <w:b w:val="false"/>
          <w:i w:val="false"/>
          <w:color w:val="000000"/>
          <w:sz w:val="28"/>
        </w:rPr>
        <w:t>
</w:t>
      </w:r>
      <w:r>
        <w:rPr>
          <w:rFonts w:ascii="Times New Roman"/>
          <w:b w:val="false"/>
          <w:i w:val="false"/>
          <w:color w:val="000000"/>
          <w:sz w:val="28"/>
        </w:rPr>
        <w:t>
      3. Департаменту развития Агентства Республики Казахстан по регулированию деятельности регионального финансового центра города Алматы (далее - Агентство):</w:t>
      </w:r>
      <w:r>
        <w:br/>
      </w:r>
      <w:r>
        <w:rPr>
          <w:rFonts w:ascii="Times New Roman"/>
          <w:b w:val="false"/>
          <w:i w:val="false"/>
          <w:color w:val="000000"/>
          <w:sz w:val="28"/>
        </w:rPr>
        <w:t>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w:t>
      </w:r>
      <w:r>
        <w:br/>
      </w:r>
      <w:r>
        <w:rPr>
          <w:rFonts w:ascii="Times New Roman"/>
          <w:b w:val="false"/>
          <w:i w:val="false"/>
          <w:color w:val="000000"/>
          <w:sz w:val="28"/>
        </w:rPr>
        <w:t>
      3) обеспечить публикацию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Председатель                               А. Арыстанов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Председатель Агентства Республики</w:t>
      </w:r>
      <w:r>
        <w:br/>
      </w:r>
      <w:r>
        <w:rPr>
          <w:rFonts w:ascii="Times New Roman"/>
          <w:b w:val="false"/>
          <w:i w:val="false"/>
          <w:color w:val="000000"/>
          <w:sz w:val="28"/>
        </w:rPr>
        <w:t>
      </w:t>
      </w:r>
      <w:r>
        <w:rPr>
          <w:rFonts w:ascii="Times New Roman"/>
          <w:b w:val="false"/>
          <w:i/>
          <w:color w:val="000000"/>
          <w:sz w:val="28"/>
        </w:rPr>
        <w:t>Казахстан по регулированию и надзору</w:t>
      </w:r>
      <w:r>
        <w:br/>
      </w:r>
      <w:r>
        <w:rPr>
          <w:rFonts w:ascii="Times New Roman"/>
          <w:b w:val="false"/>
          <w:i w:val="false"/>
          <w:color w:val="000000"/>
          <w:sz w:val="28"/>
        </w:rPr>
        <w:t>
      </w:t>
      </w:r>
      <w:r>
        <w:rPr>
          <w:rFonts w:ascii="Times New Roman"/>
          <w:b w:val="false"/>
          <w:i/>
          <w:color w:val="000000"/>
          <w:sz w:val="28"/>
        </w:rPr>
        <w:t>финансового рынка и финансовых</w:t>
      </w:r>
      <w:r>
        <w:br/>
      </w:r>
      <w:r>
        <w:rPr>
          <w:rFonts w:ascii="Times New Roman"/>
          <w:b w:val="false"/>
          <w:i w:val="false"/>
          <w:color w:val="000000"/>
          <w:sz w:val="28"/>
        </w:rPr>
        <w:t>
      </w:t>
      </w:r>
      <w:r>
        <w:rPr>
          <w:rFonts w:ascii="Times New Roman"/>
          <w:b w:val="false"/>
          <w:i/>
          <w:color w:val="000000"/>
          <w:sz w:val="28"/>
        </w:rPr>
        <w:t>организаций</w:t>
      </w:r>
      <w:r>
        <w:br/>
      </w:r>
      <w:r>
        <w:rPr>
          <w:rFonts w:ascii="Times New Roman"/>
          <w:b w:val="false"/>
          <w:i w:val="false"/>
          <w:color w:val="000000"/>
          <w:sz w:val="28"/>
        </w:rPr>
        <w:t>
      </w:t>
      </w:r>
      <w:r>
        <w:rPr>
          <w:rFonts w:ascii="Times New Roman"/>
          <w:b w:val="false"/>
          <w:i/>
          <w:color w:val="000000"/>
          <w:sz w:val="28"/>
        </w:rPr>
        <w:t>______________ Е. Бахмутова</w:t>
      </w:r>
      <w:r>
        <w:br/>
      </w:r>
      <w:r>
        <w:rPr>
          <w:rFonts w:ascii="Times New Roman"/>
          <w:b w:val="false"/>
          <w:i w:val="false"/>
          <w:color w:val="000000"/>
          <w:sz w:val="28"/>
        </w:rPr>
        <w:t>
      </w:t>
      </w:r>
      <w:r>
        <w:rPr>
          <w:rFonts w:ascii="Times New Roman"/>
          <w:b w:val="false"/>
          <w:i/>
          <w:color w:val="000000"/>
          <w:sz w:val="28"/>
        </w:rPr>
        <w:t>28 августа 2009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