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7b84" w14:textId="8797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по наличию системы управления рисками для накопительных пенсионных фондов и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7 июля 2009 года № 135. Зарегистрировано в Министерстве юстиции Республики Казахстан 20 августа 2009 года № 5755. Утратило силу постановлением Правления Национального Банка Республики Казахстан от 24 февраля 2012 года № 76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ff0000"/>
          <w:sz w:val="28"/>
        </w:rPr>
        <w:t>№ 49</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 xml:space="preserve">п. 5 </w:t>
      </w:r>
    </w:p>
    <w:bookmarkStart w:name="z1" w:id="0"/>
    <w:p>
      <w:pPr>
        <w:spacing w:after="0"/>
        <w:ind w:left="0"/>
        <w:jc w:val="both"/>
      </w:pPr>
      <w:r>
        <w:rPr>
          <w:rFonts w:ascii="Times New Roman"/>
          <w:b w:val="false"/>
          <w:i w:val="false"/>
          <w:color w:val="000000"/>
          <w:sz w:val="28"/>
        </w:rPr>
        <w:t>
      В соответствии с пунктом 14-2) </w:t>
      </w:r>
      <w:r>
        <w:rPr>
          <w:rFonts w:ascii="Times New Roman"/>
          <w:b w:val="false"/>
          <w:i w:val="false"/>
          <w:color w:val="000000"/>
          <w:sz w:val="28"/>
        </w:rPr>
        <w:t>статьи 12</w:t>
      </w:r>
      <w:r>
        <w:rPr>
          <w:rFonts w:ascii="Times New Roman"/>
          <w:b w:val="false"/>
          <w:i w:val="false"/>
          <w:color w:val="000000"/>
          <w:sz w:val="28"/>
        </w:rPr>
        <w:t> и пунктом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а также в целях совершенствования нормативных правовых актов, регулирующих деятельность накопительных пенсионных фондов и организаций, осуществляющих инвестиционное управление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требованиях по наличию системы управления рисками для накопительных пенсионных фондов и организаций, осуществляющих инвестиционное управление пенсионными активами (далее – Инструкция).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апреля 2007 года № 133 "Об установлении требований к наличию систем управления рисками для накопительных пенсионных фондов" (зарегистрированное в Реестре государственной регистрации нормативных правовых актов под № 4734, опубликованное 13 июля 2007 года в газете "Юридическая газета" № 106 (1309)). </w:t>
      </w:r>
      <w:r>
        <w:br/>
      </w:r>
      <w:r>
        <w:rPr>
          <w:rFonts w:ascii="Times New Roman"/>
          <w:b w:val="false"/>
          <w:i w:val="false"/>
          <w:color w:val="000000"/>
          <w:sz w:val="28"/>
        </w:rPr>
        <w:t>
</w:t>
      </w:r>
      <w:r>
        <w:rPr>
          <w:rFonts w:ascii="Times New Roman"/>
          <w:b w:val="false"/>
          <w:i w:val="false"/>
          <w:color w:val="000000"/>
          <w:sz w:val="28"/>
        </w:rPr>
        <w:t xml:space="preserve">
      4. Накопительным пенсионным фондам и организациям, осуществляющим инвестиционное управление пенсионными активами, до 1 октября 2009 года привести свои внутренние документы, регламентирующие условия и порядок деятельности по привлечению пенсионных взносов и осуществлению пенсионных выплат и деятельности по инвестиционному управлению пенсионными активами, деятельность их органов, структурных подразделений (филиалов, представительств) и работников, а также используемое программно-техническое обеспечение в соответствие с требованиями Инструкции, утвержденной настоящим постановлением.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подпункта 3) пункта 9, подпунктов 7) и 11) пункта 19, подпункта 7) пункта 28, подпункта 3) пункта 33, подпункта 2) пункта 37, абзаца шестого подпункта 2) пункта 39, абзаца четвертого подпункта 1) пункта 41, пунктов 42-45, подпункта 8) пункта 55, абзаца второго подпункта 2) пункта 78, подпункта 2) пункта 79, абзаца второго подпункта 2) пункта 80, абзаца второго подпункта 3) пункта 80, абзаца второго подпункта 1) пункта 82 Инструкции, устанавливающих требования в отношении максимального допустимого размера убытков по инвестиционному портфелю, сформированному за счет пенсионных активов или собственных активов накопительных пенсионных фондов и организаций, осуществляющих инвестиционное управление пенсионными активами , которые вводятся в действие с 1 января 2010 года. </w:t>
      </w:r>
      <w:r>
        <w:br/>
      </w:r>
      <w:r>
        <w:rPr>
          <w:rFonts w:ascii="Times New Roman"/>
          <w:b w:val="false"/>
          <w:i w:val="false"/>
          <w:color w:val="000000"/>
          <w:sz w:val="28"/>
        </w:rPr>
        <w:t>
</w:t>
      </w:r>
      <w:r>
        <w:rPr>
          <w:rFonts w:ascii="Times New Roman"/>
          <w:b w:val="false"/>
          <w:i w:val="false"/>
          <w:color w:val="000000"/>
          <w:sz w:val="28"/>
        </w:rPr>
        <w:t xml:space="preserve">
      6.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7.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Председателя                               К. Кожахметов </w:t>
      </w:r>
    </w:p>
    <w:bookmarkStart w:name="z1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7 июля 2009 года № 135            </w:t>
      </w:r>
    </w:p>
    <w:bookmarkEnd w:id="1"/>
    <w:bookmarkStart w:name="z13" w:id="2"/>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требованиях по наличию системы управления рисками для </w:t>
      </w:r>
      <w:r>
        <w:br/>
      </w:r>
      <w:r>
        <w:rPr>
          <w:rFonts w:ascii="Times New Roman"/>
          <w:b/>
          <w:i w:val="false"/>
          <w:color w:val="000000"/>
        </w:rPr>
        <w:t xml:space="preserve">
накопительных пенсионных фондов и организаций, осуществляющих </w:t>
      </w:r>
      <w:r>
        <w:br/>
      </w:r>
      <w:r>
        <w:rPr>
          <w:rFonts w:ascii="Times New Roman"/>
          <w:b/>
          <w:i w:val="false"/>
          <w:color w:val="000000"/>
        </w:rPr>
        <w:t xml:space="preserve">
инвестиционное управление пенсионными активами </w:t>
      </w:r>
    </w:p>
    <w:bookmarkEnd w:id="2"/>
    <w:p>
      <w:pPr>
        <w:spacing w:after="0"/>
        <w:ind w:left="0"/>
        <w:jc w:val="both"/>
      </w:pPr>
      <w:r>
        <w:rPr>
          <w:rFonts w:ascii="Times New Roman"/>
          <w:b w:val="false"/>
          <w:i w:val="false"/>
          <w:color w:val="000000"/>
          <w:sz w:val="28"/>
        </w:rPr>
        <w:t>      Настоящая Инструкция разработана в соответствии с Законами Республики Казахстан от 20 июня 1997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(далее - Закон о пенсионном обеспечении),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от 4 июля 2003 года "</w:t>
      </w:r>
      <w:r>
        <w:rPr>
          <w:rFonts w:ascii="Times New Roman"/>
          <w:b w:val="false"/>
          <w:i w:val="false"/>
          <w:color w:val="000000"/>
          <w:sz w:val="28"/>
        </w:rPr>
        <w:t>О государственном</w:t>
      </w:r>
      <w:r>
        <w:rPr>
          <w:rFonts w:ascii="Times New Roman"/>
          <w:b w:val="false"/>
          <w:i w:val="false"/>
          <w:color w:val="000000"/>
          <w:sz w:val="28"/>
        </w:rPr>
        <w:t> </w:t>
      </w:r>
      <w:r>
        <w:rPr>
          <w:rFonts w:ascii="Times New Roman"/>
          <w:b w:val="false"/>
          <w:i w:val="false"/>
          <w:color w:val="000000"/>
          <w:sz w:val="28"/>
        </w:rPr>
        <w:t>регулировании</w:t>
      </w:r>
      <w:r>
        <w:rPr>
          <w:rFonts w:ascii="Times New Roman"/>
          <w:b w:val="false"/>
          <w:i w:val="false"/>
          <w:color w:val="000000"/>
          <w:sz w:val="28"/>
        </w:rPr>
        <w:t xml:space="preserve"> и надзоре финансового рынка и финансовых организаций" и устанавливает обязательные для соблюдения организациями, обладающими лицензией государственного органа, осуществляющего регулирование и надзор финансового рынка и финансовых организаций (далее - уполномоченный орган) на осуществление деятельности по привлечению пенсионных взносов и осуществлению пенсионных выплат и (или) лицензией на осуществление деятельности по инвестиционному управлению пенсионными активами, требования к наличию систем управления рисками и внутреннего контроля. </w:t>
      </w:r>
    </w:p>
    <w:bookmarkStart w:name="z14" w:id="3"/>
    <w:p>
      <w:pPr>
        <w:spacing w:after="0"/>
        <w:ind w:left="0"/>
        <w:jc w:val="left"/>
      </w:pPr>
      <w:r>
        <w:rPr>
          <w:rFonts w:ascii="Times New Roman"/>
          <w:b/>
          <w:i w:val="false"/>
          <w:color w:val="000000"/>
        </w:rPr>
        <w:t xml:space="preserve"> 
Глава 1. Общие положения </w:t>
      </w:r>
    </w:p>
    <w:bookmarkEnd w:id="3"/>
    <w:bookmarkStart w:name="z15" w:id="4"/>
    <w:p>
      <w:pPr>
        <w:spacing w:after="0"/>
        <w:ind w:left="0"/>
        <w:jc w:val="both"/>
      </w:pPr>
      <w:r>
        <w:rPr>
          <w:rFonts w:ascii="Times New Roman"/>
          <w:b w:val="false"/>
          <w:i w:val="false"/>
          <w:color w:val="000000"/>
          <w:sz w:val="28"/>
        </w:rPr>
        <w:t xml:space="preserve">
      1. Целью настоящей Инструкции является определение требований к формированию в накопительных пенсионных фондах (далее – Фонд) и (или) организациях, осуществляющих инвестиционное управление пенсионными активами (далее – Организация), системы управления рисками и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2. Совет директоров и правление Фонда (Организации) обеспечивают соответствие системы управления рисками и внутреннего контроля требованиям настоящей Инструкции и создают условия для исполнения подразделениями и работниками Фонда (Организации) возложенных на них обязанностей в области управления рисками и осуществления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3. В настоящей Инструкции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открытая валютная позиция - превышение требований (обязательств) Фонда (Организации) в валюте отдельного иностранного государства (группы иностранных государств) над обязательствами (требованиями) Фонда (Организации) в 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3) репутационный риск – риск возникновения расходов (убытков) вследствие негативного общественного мнения или снижения доверия к Фонду (Организации); </w:t>
      </w:r>
      <w:r>
        <w:br/>
      </w:r>
      <w:r>
        <w:rPr>
          <w:rFonts w:ascii="Times New Roman"/>
          <w:b w:val="false"/>
          <w:i w:val="false"/>
          <w:color w:val="000000"/>
          <w:sz w:val="28"/>
        </w:rPr>
        <w:t>
</w:t>
      </w:r>
      <w:r>
        <w:rPr>
          <w:rFonts w:ascii="Times New Roman"/>
          <w:b w:val="false"/>
          <w:i w:val="false"/>
          <w:color w:val="000000"/>
          <w:sz w:val="28"/>
        </w:rPr>
        <w:t xml:space="preserve">
      4) бэк-тестинг - методы проверки эффективности процедур измерения рисков с использованием исторических данных по Фонду (Организации) и сравнением рассчитанных результатов с текущими (фактическими) результатами от совершения указанных операций; </w:t>
      </w:r>
      <w:r>
        <w:br/>
      </w:r>
      <w:r>
        <w:rPr>
          <w:rFonts w:ascii="Times New Roman"/>
          <w:b w:val="false"/>
          <w:i w:val="false"/>
          <w:color w:val="000000"/>
          <w:sz w:val="28"/>
        </w:rPr>
        <w:t>
</w:t>
      </w:r>
      <w:r>
        <w:rPr>
          <w:rFonts w:ascii="Times New Roman"/>
          <w:b w:val="false"/>
          <w:i w:val="false"/>
          <w:color w:val="000000"/>
          <w:sz w:val="28"/>
        </w:rPr>
        <w:t xml:space="preserve">
      5) валютная нетто-позиция - разница между совокупной суммой длинных позиций Фонда (Организации) по всем иностранным валютам и совокупной суммой коротких позиций по всем иностранным валютам; </w:t>
      </w:r>
      <w:r>
        <w:br/>
      </w:r>
      <w:r>
        <w:rPr>
          <w:rFonts w:ascii="Times New Roman"/>
          <w:b w:val="false"/>
          <w:i w:val="false"/>
          <w:color w:val="000000"/>
          <w:sz w:val="28"/>
        </w:rPr>
        <w:t>
</w:t>
      </w:r>
      <w:r>
        <w:rPr>
          <w:rFonts w:ascii="Times New Roman"/>
          <w:b w:val="false"/>
          <w:i w:val="false"/>
          <w:color w:val="000000"/>
          <w:sz w:val="28"/>
        </w:rPr>
        <w:t xml:space="preserve">
      6) валютный риск - риск возникновения расходов (убытков), связанный с изменением курсов иностранных валют при осуществлении Фондом (Организацией)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w:t>
      </w:r>
      <w:r>
        <w:rPr>
          <w:rFonts w:ascii="Times New Roman"/>
          <w:b w:val="false"/>
          <w:i w:val="false"/>
          <w:color w:val="000000"/>
          <w:sz w:val="28"/>
        </w:rPr>
        <w:t>
      7) гэп-позиция - разница между пенсионными (собственными ликвидными) активами и обязательствами Фонда (Организации) по пенсионным (собственным ликвидным) активам в зависимости от сроков их исполнения;</w:t>
      </w:r>
      <w:r>
        <w:br/>
      </w:r>
      <w:r>
        <w:rPr>
          <w:rFonts w:ascii="Times New Roman"/>
          <w:b w:val="false"/>
          <w:i w:val="false"/>
          <w:color w:val="000000"/>
          <w:sz w:val="28"/>
        </w:rPr>
        <w:t>
</w:t>
      </w:r>
      <w:r>
        <w:rPr>
          <w:rFonts w:ascii="Times New Roman"/>
          <w:b w:val="false"/>
          <w:i w:val="false"/>
          <w:color w:val="000000"/>
          <w:sz w:val="28"/>
        </w:rPr>
        <w:t xml:space="preserve">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 </w:t>
      </w:r>
      <w:r>
        <w:br/>
      </w:r>
      <w:r>
        <w:rPr>
          <w:rFonts w:ascii="Times New Roman"/>
          <w:b w:val="false"/>
          <w:i w:val="false"/>
          <w:color w:val="000000"/>
          <w:sz w:val="28"/>
        </w:rPr>
        <w:t>
</w:t>
      </w:r>
      <w:r>
        <w:rPr>
          <w:rFonts w:ascii="Times New Roman"/>
          <w:b w:val="false"/>
          <w:i w:val="false"/>
          <w:color w:val="000000"/>
          <w:sz w:val="28"/>
        </w:rPr>
        <w:t xml:space="preserve">
      9) служба внутреннего аудита – подразделение Фонда (Организации), созданное в соответствии с законодательством Республики Казахстан об акционерных обществах, основной функцией которого является контроль за финансово-хозяйственной деятельностью Фонда (Организации); </w:t>
      </w:r>
      <w:r>
        <w:br/>
      </w:r>
      <w:r>
        <w:rPr>
          <w:rFonts w:ascii="Times New Roman"/>
          <w:b w:val="false"/>
          <w:i w:val="false"/>
          <w:color w:val="000000"/>
          <w:sz w:val="28"/>
        </w:rPr>
        <w:t>
</w:t>
      </w:r>
      <w:r>
        <w:rPr>
          <w:rFonts w:ascii="Times New Roman"/>
          <w:b w:val="false"/>
          <w:i w:val="false"/>
          <w:color w:val="000000"/>
          <w:sz w:val="28"/>
        </w:rPr>
        <w:t xml:space="preserve">
      10) система внутреннего контроля – элемент системы управления рисками, представляющий совокупность процедур и политик внутреннего контроля, обеспечивающих реализацию Фондом (Организацией)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и нормативных правовых актов уполномоченного органа, политики Фонда (Организации), внутренних правил и процедур, снижению риска убытков или репутационного риска Фонда (Организации); </w:t>
      </w:r>
      <w:r>
        <w:br/>
      </w:r>
      <w:r>
        <w:rPr>
          <w:rFonts w:ascii="Times New Roman"/>
          <w:b w:val="false"/>
          <w:i w:val="false"/>
          <w:color w:val="000000"/>
          <w:sz w:val="28"/>
        </w:rPr>
        <w:t>
</w:t>
      </w:r>
      <w:r>
        <w:rPr>
          <w:rFonts w:ascii="Times New Roman"/>
          <w:b w:val="false"/>
          <w:i w:val="false"/>
          <w:color w:val="000000"/>
          <w:sz w:val="28"/>
        </w:rPr>
        <w:t xml:space="preserve">
      11) внутренние документы — документы, регулирующие условия и порядок деятельности Фонда (Организации), их органов, структурных подразделений (филиалов, представительств), работников; </w:t>
      </w:r>
      <w:r>
        <w:br/>
      </w:r>
      <w:r>
        <w:rPr>
          <w:rFonts w:ascii="Times New Roman"/>
          <w:b w:val="false"/>
          <w:i w:val="false"/>
          <w:color w:val="000000"/>
          <w:sz w:val="28"/>
        </w:rPr>
        <w:t>
</w:t>
      </w:r>
      <w:r>
        <w:rPr>
          <w:rFonts w:ascii="Times New Roman"/>
          <w:b w:val="false"/>
          <w:i w:val="false"/>
          <w:color w:val="000000"/>
          <w:sz w:val="28"/>
        </w:rPr>
        <w:t>
      12) контрпартнер - юридическое лицо, оказывающее услуги Фонду (Организации) в процессе заключения сделок с финансовыми инструментами, совершаемых за счет пенсионных и (или) собственных активов Фонда (Организации),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r>
        <w:br/>
      </w:r>
      <w:r>
        <w:rPr>
          <w:rFonts w:ascii="Times New Roman"/>
          <w:b w:val="false"/>
          <w:i w:val="false"/>
          <w:color w:val="000000"/>
          <w:sz w:val="28"/>
        </w:rPr>
        <w:t>
</w:t>
      </w:r>
      <w:r>
        <w:rPr>
          <w:rFonts w:ascii="Times New Roman"/>
          <w:b w:val="false"/>
          <w:i w:val="false"/>
          <w:color w:val="000000"/>
          <w:sz w:val="28"/>
        </w:rPr>
        <w:t xml:space="preserve">
      13) корпоративное управление – система стратегического и тактического управления организацией, представляющая собой комплекс взаимоотношений между высшим органом, органом управления, исполнительным органом и иными органами организации, направленный на обеспечение эффективного функционирования организации, защиту прав и интересов ее акционеров и предоставляющая акционерам возможность эффективного контроля и мониторинга деятельности организации; </w:t>
      </w:r>
      <w:r>
        <w:br/>
      </w:r>
      <w:r>
        <w:rPr>
          <w:rFonts w:ascii="Times New Roman"/>
          <w:b w:val="false"/>
          <w:i w:val="false"/>
          <w:color w:val="000000"/>
          <w:sz w:val="28"/>
        </w:rPr>
        <w:t>
</w:t>
      </w:r>
      <w:r>
        <w:rPr>
          <w:rFonts w:ascii="Times New Roman"/>
          <w:b w:val="false"/>
          <w:i w:val="false"/>
          <w:color w:val="000000"/>
          <w:sz w:val="28"/>
        </w:rPr>
        <w:t xml:space="preserve">
      14) кредитный риск – риск возникновения расходов (убытков) вследствие неуплаты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w:t>
      </w:r>
      <w:r>
        <w:br/>
      </w:r>
      <w:r>
        <w:rPr>
          <w:rFonts w:ascii="Times New Roman"/>
          <w:b w:val="false"/>
          <w:i w:val="false"/>
          <w:color w:val="000000"/>
          <w:sz w:val="28"/>
        </w:rPr>
        <w:t>
</w:t>
      </w:r>
      <w:r>
        <w:rPr>
          <w:rFonts w:ascii="Times New Roman"/>
          <w:b w:val="false"/>
          <w:i w:val="false"/>
          <w:color w:val="000000"/>
          <w:sz w:val="28"/>
        </w:rPr>
        <w:t xml:space="preserve">
      15) правовой риск – риск возникновения расходов (убытков) вследствие нарушения Фондом (Организацией) требований законодательства Республики Казахстан либо несоответствия практики Фонда (Организации) их внутренним документам, а в отношениях с нерезидентами Республики Казахстан – законодательства других государств; </w:t>
      </w:r>
      <w:r>
        <w:br/>
      </w:r>
      <w:r>
        <w:rPr>
          <w:rFonts w:ascii="Times New Roman"/>
          <w:b w:val="false"/>
          <w:i w:val="false"/>
          <w:color w:val="000000"/>
          <w:sz w:val="28"/>
        </w:rPr>
        <w:t>
</w:t>
      </w:r>
      <w:r>
        <w:rPr>
          <w:rFonts w:ascii="Times New Roman"/>
          <w:b w:val="false"/>
          <w:i w:val="false"/>
          <w:color w:val="000000"/>
          <w:sz w:val="28"/>
        </w:rPr>
        <w:t xml:space="preserve">
      16)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Фонда (Организации), условия хеджирования и диверсификации собственных активов; </w:t>
      </w:r>
      <w:r>
        <w:br/>
      </w:r>
      <w:r>
        <w:rPr>
          <w:rFonts w:ascii="Times New Roman"/>
          <w:b w:val="false"/>
          <w:i w:val="false"/>
          <w:color w:val="000000"/>
          <w:sz w:val="28"/>
        </w:rPr>
        <w:t>
</w:t>
      </w:r>
      <w:r>
        <w:rPr>
          <w:rFonts w:ascii="Times New Roman"/>
          <w:b w:val="false"/>
          <w:i w:val="false"/>
          <w:color w:val="000000"/>
          <w:sz w:val="28"/>
        </w:rPr>
        <w:t>
      16-1) управление конфликтом интересов - создание механизмов недопущения ситуаций, при которых интересы должностного лица или работника Фонда (Организации)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вкладчиков (получателей) Фонда и (или) акционеров Фонда (Организации);</w:t>
      </w:r>
      <w:r>
        <w:br/>
      </w:r>
      <w:r>
        <w:rPr>
          <w:rFonts w:ascii="Times New Roman"/>
          <w:b w:val="false"/>
          <w:i w:val="false"/>
          <w:color w:val="000000"/>
          <w:sz w:val="28"/>
        </w:rPr>
        <w:t>
</w:t>
      </w:r>
      <w:r>
        <w:rPr>
          <w:rFonts w:ascii="Times New Roman"/>
          <w:b w:val="false"/>
          <w:i w:val="false"/>
          <w:color w:val="000000"/>
          <w:sz w:val="28"/>
        </w:rPr>
        <w:t xml:space="preserve">
      17)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w:t>
      </w:r>
      <w:r>
        <w:br/>
      </w:r>
      <w:r>
        <w:rPr>
          <w:rFonts w:ascii="Times New Roman"/>
          <w:b w:val="false"/>
          <w:i w:val="false"/>
          <w:color w:val="000000"/>
          <w:sz w:val="28"/>
        </w:rPr>
        <w:t>
</w:t>
      </w:r>
      <w:r>
        <w:rPr>
          <w:rFonts w:ascii="Times New Roman"/>
          <w:b w:val="false"/>
          <w:i w:val="false"/>
          <w:color w:val="000000"/>
          <w:sz w:val="28"/>
        </w:rPr>
        <w:t xml:space="preserve">
      18)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 </w:t>
      </w:r>
      <w:r>
        <w:br/>
      </w:r>
      <w:r>
        <w:rPr>
          <w:rFonts w:ascii="Times New Roman"/>
          <w:b w:val="false"/>
          <w:i w:val="false"/>
          <w:color w:val="000000"/>
          <w:sz w:val="28"/>
        </w:rPr>
        <w:t xml:space="preserve">
      неопределенной и неэффективной организационной структурой Фонда (Организации), включая распределение ответственности, структуру подотчетности и управления; </w:t>
      </w:r>
      <w:r>
        <w:br/>
      </w:r>
      <w:r>
        <w:rPr>
          <w:rFonts w:ascii="Times New Roman"/>
          <w:b w:val="false"/>
          <w:i w:val="false"/>
          <w:color w:val="000000"/>
          <w:sz w:val="28"/>
        </w:rPr>
        <w:t xml:space="preserve">
      неэффективными стратегиями, политиками и (или) стандартами в области информационных технологий, недостатками в использовании программного обеспечения; </w:t>
      </w:r>
      <w:r>
        <w:br/>
      </w:r>
      <w:r>
        <w:rPr>
          <w:rFonts w:ascii="Times New Roman"/>
          <w:b w:val="false"/>
          <w:i w:val="false"/>
          <w:color w:val="000000"/>
          <w:sz w:val="28"/>
        </w:rPr>
        <w:t xml:space="preserve">
      не соответствующей действительности информацией либо ее несоответствующим использованием; </w:t>
      </w:r>
      <w:r>
        <w:br/>
      </w:r>
      <w:r>
        <w:rPr>
          <w:rFonts w:ascii="Times New Roman"/>
          <w:b w:val="false"/>
          <w:i w:val="false"/>
          <w:color w:val="000000"/>
          <w:sz w:val="28"/>
        </w:rPr>
        <w:t xml:space="preserve">
      неэффективным управлением персоналом и (или) неквалифицированным штатом Фонда (Организации); </w:t>
      </w:r>
      <w:r>
        <w:br/>
      </w:r>
      <w:r>
        <w:rPr>
          <w:rFonts w:ascii="Times New Roman"/>
          <w:b w:val="false"/>
          <w:i w:val="false"/>
          <w:color w:val="000000"/>
          <w:sz w:val="28"/>
        </w:rPr>
        <w:t xml:space="preserve">
      недостаточно эффективным построением процессов осуществления деятельности Фонда (Организации) либо слабым контролем соблюдения внутренних правил; </w:t>
      </w:r>
      <w:r>
        <w:br/>
      </w:r>
      <w:r>
        <w:rPr>
          <w:rFonts w:ascii="Times New Roman"/>
          <w:b w:val="false"/>
          <w:i w:val="false"/>
          <w:color w:val="000000"/>
          <w:sz w:val="28"/>
        </w:rPr>
        <w:t xml:space="preserve">
      непредвиденными или неконтролируемыми факторами внешнего воздействия на деятельность Фонда (Организации); </w:t>
      </w:r>
      <w:r>
        <w:br/>
      </w:r>
      <w:r>
        <w:rPr>
          <w:rFonts w:ascii="Times New Roman"/>
          <w:b w:val="false"/>
          <w:i w:val="false"/>
          <w:color w:val="000000"/>
          <w:sz w:val="28"/>
        </w:rPr>
        <w:t xml:space="preserve">
      наличием недостатков или ошибок во внутренних документах (правилах), регламентирующих деятельность Фонда (Организации); </w:t>
      </w:r>
      <w:r>
        <w:br/>
      </w:r>
      <w:r>
        <w:rPr>
          <w:rFonts w:ascii="Times New Roman"/>
          <w:b w:val="false"/>
          <w:i w:val="false"/>
          <w:color w:val="000000"/>
          <w:sz w:val="28"/>
        </w:rPr>
        <w:t xml:space="preserve">
      непрофессиональными действиями руководства и персонала Фонда (Организации), повлекшими за собой сужение клиентской базы, недоверие или негативное восприятие Фонда (Организации) клиентами и (или) контрпартнерами; </w:t>
      </w:r>
      <w:r>
        <w:br/>
      </w:r>
      <w:r>
        <w:rPr>
          <w:rFonts w:ascii="Times New Roman"/>
          <w:b w:val="false"/>
          <w:i w:val="false"/>
          <w:color w:val="000000"/>
          <w:sz w:val="28"/>
        </w:rPr>
        <w:t>
</w:t>
      </w:r>
      <w:r>
        <w:rPr>
          <w:rFonts w:ascii="Times New Roman"/>
          <w:b w:val="false"/>
          <w:i w:val="false"/>
          <w:color w:val="000000"/>
          <w:sz w:val="28"/>
        </w:rPr>
        <w:t xml:space="preserve">
      19) риск потери ликвидности – риск, связанный с возможным невыполнением либо несвоевременным выполнением Фондом (Организацией) своих обязательств. Риск потери ликвидности ценных бумаг как активов определяется их способностью быстро реализовываться с низкими издержками и по приемлемым ценам; </w:t>
      </w:r>
      <w:r>
        <w:br/>
      </w:r>
      <w:r>
        <w:rPr>
          <w:rFonts w:ascii="Times New Roman"/>
          <w:b w:val="false"/>
          <w:i w:val="false"/>
          <w:color w:val="000000"/>
          <w:sz w:val="28"/>
        </w:rPr>
        <w:t>
</w:t>
      </w:r>
      <w:r>
        <w:rPr>
          <w:rFonts w:ascii="Times New Roman"/>
          <w:b w:val="false"/>
          <w:i w:val="false"/>
          <w:color w:val="000000"/>
          <w:sz w:val="28"/>
        </w:rPr>
        <w:t xml:space="preserve">
      20)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 </w:t>
      </w:r>
      <w:r>
        <w:br/>
      </w:r>
      <w:r>
        <w:rPr>
          <w:rFonts w:ascii="Times New Roman"/>
          <w:b w:val="false"/>
          <w:i w:val="false"/>
          <w:color w:val="000000"/>
          <w:sz w:val="28"/>
        </w:rPr>
        <w:t xml:space="preserve">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 </w:t>
      </w:r>
      <w:r>
        <w:br/>
      </w:r>
      <w:r>
        <w:rPr>
          <w:rFonts w:ascii="Times New Roman"/>
          <w:b w:val="false"/>
          <w:i w:val="false"/>
          <w:color w:val="000000"/>
          <w:sz w:val="28"/>
        </w:rPr>
        <w:t xml:space="preserve">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 </w:t>
      </w:r>
      <w:r>
        <w:br/>
      </w:r>
      <w:r>
        <w:rPr>
          <w:rFonts w:ascii="Times New Roman"/>
          <w:b w:val="false"/>
          <w:i w:val="false"/>
          <w:color w:val="000000"/>
          <w:sz w:val="28"/>
        </w:rPr>
        <w:t>
</w:t>
      </w:r>
      <w:r>
        <w:rPr>
          <w:rFonts w:ascii="Times New Roman"/>
          <w:b w:val="false"/>
          <w:i w:val="false"/>
          <w:color w:val="000000"/>
          <w:sz w:val="28"/>
        </w:rPr>
        <w:t>
      21) стресс-тестинг – методы измерения потенциального влияния на финансовое положение Фонда (Организации) исключительных, но возможных событий, которые могут оказать влияние на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xml:space="preserve">
      22) система управления рисками – процесс, включающий четыре основных элемента: оценка риска, измерение риска, контроль риска и мониторинг риска; </w:t>
      </w:r>
      <w:r>
        <w:br/>
      </w:r>
      <w:r>
        <w:rPr>
          <w:rFonts w:ascii="Times New Roman"/>
          <w:b w:val="false"/>
          <w:i w:val="false"/>
          <w:color w:val="000000"/>
          <w:sz w:val="28"/>
        </w:rPr>
        <w:t>
</w:t>
      </w:r>
      <w:r>
        <w:rPr>
          <w:rFonts w:ascii="Times New Roman"/>
          <w:b w:val="false"/>
          <w:i w:val="false"/>
          <w:color w:val="000000"/>
          <w:sz w:val="28"/>
        </w:rPr>
        <w:t xml:space="preserve">
      23) форс-мажорное обстоятельство – чрезвычайное и непредотвратимое (при данных условиях) событие (непреодолимая сила); </w:t>
      </w:r>
      <w:r>
        <w:br/>
      </w:r>
      <w:r>
        <w:rPr>
          <w:rFonts w:ascii="Times New Roman"/>
          <w:b w:val="false"/>
          <w:i w:val="false"/>
          <w:color w:val="000000"/>
          <w:sz w:val="28"/>
        </w:rPr>
        <w:t>
</w:t>
      </w:r>
      <w:r>
        <w:rPr>
          <w:rFonts w:ascii="Times New Roman"/>
          <w:b w:val="false"/>
          <w:i w:val="false"/>
          <w:color w:val="000000"/>
          <w:sz w:val="28"/>
        </w:rPr>
        <w:t xml:space="preserve">
      24) лимиты "stop-loss" - предельно допустимый уровень потерь по операциям с финансовыми инструментами; </w:t>
      </w:r>
      <w:r>
        <w:br/>
      </w:r>
      <w:r>
        <w:rPr>
          <w:rFonts w:ascii="Times New Roman"/>
          <w:b w:val="false"/>
          <w:i w:val="false"/>
          <w:color w:val="000000"/>
          <w:sz w:val="28"/>
        </w:rPr>
        <w:t>
</w:t>
      </w:r>
      <w:r>
        <w:rPr>
          <w:rFonts w:ascii="Times New Roman"/>
          <w:b w:val="false"/>
          <w:i w:val="false"/>
          <w:color w:val="000000"/>
          <w:sz w:val="28"/>
        </w:rPr>
        <w:t>
      25) лимиты "take profit" - предельно допустимый уровень доходов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xml:space="preserve">
      26) VAR (Value at Risk) модель - характеризует максимально возможные потери по определенным позициям инвестиционного портфеля в течение заданного периода времени с заданной степенью вероятности.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 Фонды и Организации ежегодно не позднее 1 июля года, следующего за отчетным, представляют в уполномоченный орган отчет по оценке выполнения требований к системе управления рисками в соответствии с </w:t>
      </w:r>
      <w:r>
        <w:rPr>
          <w:rFonts w:ascii="Times New Roman"/>
          <w:b w:val="false"/>
          <w:i w:val="false"/>
          <w:color w:val="000000"/>
          <w:sz w:val="28"/>
        </w:rPr>
        <w:t>приложением 1</w:t>
      </w:r>
      <w:r>
        <w:rPr>
          <w:rFonts w:ascii="Times New Roman"/>
          <w:b w:val="false"/>
          <w:i w:val="false"/>
          <w:color w:val="000000"/>
          <w:sz w:val="28"/>
        </w:rPr>
        <w:t> к настоящей Инструкции, который содержит:</w:t>
      </w:r>
      <w:r>
        <w:br/>
      </w:r>
      <w:r>
        <w:rPr>
          <w:rFonts w:ascii="Times New Roman"/>
          <w:b w:val="false"/>
          <w:i w:val="false"/>
          <w:color w:val="000000"/>
          <w:sz w:val="28"/>
        </w:rPr>
        <w:t xml:space="preserve">
      1) полный перечень требований к системе управления рисками; </w:t>
      </w:r>
      <w:r>
        <w:br/>
      </w:r>
      <w:r>
        <w:rPr>
          <w:rFonts w:ascii="Times New Roman"/>
          <w:b w:val="false"/>
          <w:i w:val="false"/>
          <w:color w:val="000000"/>
          <w:sz w:val="28"/>
        </w:rPr>
        <w:t xml:space="preserve">
      2) самостоятельную оценку соответствия (несоответствия) требованиям к системе управления рисками; </w:t>
      </w:r>
      <w:r>
        <w:br/>
      </w: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r>
        <w:br/>
      </w:r>
      <w:r>
        <w:rPr>
          <w:rFonts w:ascii="Times New Roman"/>
          <w:b w:val="false"/>
          <w:i w:val="false"/>
          <w:color w:val="000000"/>
          <w:sz w:val="28"/>
        </w:rPr>
        <w:t>
      Адекватность оценки выполнения требований настоящей Инструкции, проведенной Фондом (Организацией),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5. Стресс-тестинг по ценовому риску, процентному риску, валютному риску и риску ликвидности по собственным активам и активам, переданным в инвестиционное управление,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не реже одного раза в два месяца. </w:t>
      </w:r>
      <w:r>
        <w:br/>
      </w:r>
      <w:r>
        <w:rPr>
          <w:rFonts w:ascii="Times New Roman"/>
          <w:b w:val="false"/>
          <w:i w:val="false"/>
          <w:color w:val="000000"/>
          <w:sz w:val="28"/>
        </w:rPr>
        <w:t>
</w:t>
      </w:r>
      <w:r>
        <w:rPr>
          <w:rFonts w:ascii="Times New Roman"/>
          <w:b w:val="false"/>
          <w:i w:val="false"/>
          <w:color w:val="000000"/>
          <w:sz w:val="28"/>
        </w:rPr>
        <w:t>
      6. Результаты стресс-тестинга, оформленные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представляются в Агентство не позднее пятого рабочего дня каждого четного месяца. </w:t>
      </w:r>
      <w:r>
        <w:br/>
      </w:r>
      <w:r>
        <w:rPr>
          <w:rFonts w:ascii="Times New Roman"/>
          <w:b w:val="false"/>
          <w:i w:val="false"/>
          <w:color w:val="000000"/>
          <w:sz w:val="28"/>
        </w:rPr>
        <w:t>
      Информация по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представляется в Агентство не позднее пятого рабочего дня месяца, следующего за отчетным месяцем. </w:t>
      </w:r>
    </w:p>
    <w:bookmarkEnd w:id="4"/>
    <w:bookmarkStart w:name="z47" w:id="5"/>
    <w:p>
      <w:pPr>
        <w:spacing w:after="0"/>
        <w:ind w:left="0"/>
        <w:jc w:val="left"/>
      </w:pPr>
      <w:r>
        <w:rPr>
          <w:rFonts w:ascii="Times New Roman"/>
          <w:b/>
          <w:i w:val="false"/>
          <w:color w:val="000000"/>
        </w:rPr>
        <w:t xml:space="preserve"> 
Глава 2. Базовые требования к наличию системы управления рисками </w:t>
      </w:r>
    </w:p>
    <w:bookmarkEnd w:id="5"/>
    <w:bookmarkStart w:name="z48" w:id="6"/>
    <w:p>
      <w:pPr>
        <w:spacing w:after="0"/>
        <w:ind w:left="0"/>
        <w:jc w:val="both"/>
      </w:pPr>
      <w:r>
        <w:rPr>
          <w:rFonts w:ascii="Times New Roman"/>
          <w:b w:val="false"/>
          <w:i w:val="false"/>
          <w:color w:val="000000"/>
          <w:sz w:val="28"/>
        </w:rPr>
        <w:t xml:space="preserve">
      7. Наличие системы управления рисками в Фонде (Организации) предусматривает соответствие деятельности Фонда (Организации) требованиям по корпоративному управлению, наличию практики проведения операций в рамках лицензируемого вида деятельности, практики управления активами и обязательствами, функционированию информационных систем и систем управленческой информации. </w:t>
      </w:r>
      <w:r>
        <w:br/>
      </w:r>
      <w:r>
        <w:rPr>
          <w:rFonts w:ascii="Times New Roman"/>
          <w:b w:val="false"/>
          <w:i w:val="false"/>
          <w:color w:val="000000"/>
          <w:sz w:val="28"/>
        </w:rPr>
        <w:t>
</w:t>
      </w:r>
      <w:r>
        <w:rPr>
          <w:rFonts w:ascii="Times New Roman"/>
          <w:b w:val="false"/>
          <w:i w:val="false"/>
          <w:color w:val="000000"/>
          <w:sz w:val="28"/>
        </w:rPr>
        <w:t xml:space="preserve">
      8. Система управления рисками Фонда охватывает следующие направления его деятельности: </w:t>
      </w:r>
      <w:r>
        <w:br/>
      </w:r>
      <w:r>
        <w:rPr>
          <w:rFonts w:ascii="Times New Roman"/>
          <w:b w:val="false"/>
          <w:i w:val="false"/>
          <w:color w:val="000000"/>
          <w:sz w:val="28"/>
        </w:rPr>
        <w:t xml:space="preserve">
      1) проведение регулярного анализа основных показателей рынка пенсионных услуг и прогнозирование их изменений с учетом влияния макро- и микроэкономических факторов; </w:t>
      </w:r>
      <w:r>
        <w:br/>
      </w:r>
      <w:r>
        <w:rPr>
          <w:rFonts w:ascii="Times New Roman"/>
          <w:b w:val="false"/>
          <w:i w:val="false"/>
          <w:color w:val="000000"/>
          <w:sz w:val="28"/>
        </w:rPr>
        <w:t xml:space="preserve">
      2) разработка и утверждение инвестиционной декларации по пенсионным активам и политики инвестирования собственных активов; </w:t>
      </w:r>
      <w:r>
        <w:br/>
      </w:r>
      <w:r>
        <w:rPr>
          <w:rFonts w:ascii="Times New Roman"/>
          <w:b w:val="false"/>
          <w:i w:val="false"/>
          <w:color w:val="000000"/>
          <w:sz w:val="28"/>
        </w:rPr>
        <w:t xml:space="preserve">
      3) определение порядка организации работы с вкладчиками (получателями) и учет их пенсионных накоплений, включающего: </w:t>
      </w:r>
      <w:r>
        <w:br/>
      </w:r>
      <w:r>
        <w:rPr>
          <w:rFonts w:ascii="Times New Roman"/>
          <w:b w:val="false"/>
          <w:i w:val="false"/>
          <w:color w:val="000000"/>
          <w:sz w:val="28"/>
        </w:rPr>
        <w:t xml:space="preserve">
      процедуры, обеспечивающие достоверность учета и своевременность открытия индивидуальных пенсионных счетов и поступления средств на индивидуальные пенсионные счета вкладчиков (получателей), выплат и переводов пенсионных накоплений; </w:t>
      </w:r>
      <w:r>
        <w:br/>
      </w:r>
      <w:r>
        <w:rPr>
          <w:rFonts w:ascii="Times New Roman"/>
          <w:b w:val="false"/>
          <w:i w:val="false"/>
          <w:color w:val="000000"/>
          <w:sz w:val="28"/>
        </w:rPr>
        <w:t xml:space="preserve">
      процедуры, гарантирующие рассмотрение по существу в установленный срок жалоб и обращений вкладчиков (получателей); </w:t>
      </w:r>
      <w:r>
        <w:br/>
      </w:r>
      <w:r>
        <w:rPr>
          <w:rFonts w:ascii="Times New Roman"/>
          <w:b w:val="false"/>
          <w:i w:val="false"/>
          <w:color w:val="000000"/>
          <w:sz w:val="28"/>
        </w:rPr>
        <w:t xml:space="preserve">
      процедуры, гарантирующие своевременность осуществления переводов и выплат пенсионных накоплений вкладчиков (получателей); </w:t>
      </w:r>
      <w:r>
        <w:br/>
      </w:r>
      <w:r>
        <w:rPr>
          <w:rFonts w:ascii="Times New Roman"/>
          <w:b w:val="false"/>
          <w:i w:val="false"/>
          <w:color w:val="000000"/>
          <w:sz w:val="28"/>
        </w:rPr>
        <w:t>
      процедуры, обеспечивающие соответствие учета пенсионных активов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пенсионном обеспечении и бухгалтерском учете; </w:t>
      </w:r>
      <w:r>
        <w:br/>
      </w:r>
      <w:r>
        <w:rPr>
          <w:rFonts w:ascii="Times New Roman"/>
          <w:b w:val="false"/>
          <w:i w:val="false"/>
          <w:color w:val="000000"/>
          <w:sz w:val="28"/>
        </w:rPr>
        <w:t xml:space="preserve">
      порядок осуществления проверки правильности начисления комиссионного вознаграждения; </w:t>
      </w:r>
      <w:r>
        <w:br/>
      </w:r>
      <w:r>
        <w:rPr>
          <w:rFonts w:ascii="Times New Roman"/>
          <w:b w:val="false"/>
          <w:i w:val="false"/>
          <w:color w:val="000000"/>
          <w:sz w:val="28"/>
        </w:rPr>
        <w:t xml:space="preserve">
      при наличии договоров между Фондом и физическими лицами, привлекаемыми для заключения с вкладчиками (получателями) договоров о пенсионном обеспечении, - процедуры по контролю за их деятельностью; </w:t>
      </w:r>
      <w:r>
        <w:br/>
      </w:r>
      <w:r>
        <w:rPr>
          <w:rFonts w:ascii="Times New Roman"/>
          <w:b w:val="false"/>
          <w:i w:val="false"/>
          <w:color w:val="000000"/>
          <w:sz w:val="28"/>
        </w:rPr>
        <w:t xml:space="preserve">
      4) создание организационно-функциональной структуры управления Фондом; </w:t>
      </w:r>
      <w:r>
        <w:br/>
      </w:r>
      <w:r>
        <w:rPr>
          <w:rFonts w:ascii="Times New Roman"/>
          <w:b w:val="false"/>
          <w:i w:val="false"/>
          <w:color w:val="000000"/>
          <w:sz w:val="28"/>
        </w:rPr>
        <w:t xml:space="preserve">
      5) разработка и утверждение внутренних процедур и документов; </w:t>
      </w:r>
      <w:r>
        <w:br/>
      </w:r>
      <w:r>
        <w:rPr>
          <w:rFonts w:ascii="Times New Roman"/>
          <w:b w:val="false"/>
          <w:i w:val="false"/>
          <w:color w:val="000000"/>
          <w:sz w:val="28"/>
        </w:rPr>
        <w:t xml:space="preserve">
      6) предоставление информации, необходимой для принятия решений, заинтересованным органам и подразделениям Фонда, а также при передаче пенсионных и (или) собственных активов Фонда в инвестиционное управление Организации, - порядок обмена информацией между Фондом и Организацией; </w:t>
      </w:r>
      <w:r>
        <w:br/>
      </w:r>
      <w:r>
        <w:rPr>
          <w:rFonts w:ascii="Times New Roman"/>
          <w:b w:val="false"/>
          <w:i w:val="false"/>
          <w:color w:val="000000"/>
          <w:sz w:val="28"/>
        </w:rPr>
        <w:t>
      7) мониторинг соблюдения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рынке ценных бумаг и пенсионном обеспечении и политикой инвестирования собственных активов;</w:t>
      </w:r>
      <w:r>
        <w:br/>
      </w:r>
      <w:r>
        <w:rPr>
          <w:rFonts w:ascii="Times New Roman"/>
          <w:b w:val="false"/>
          <w:i w:val="false"/>
          <w:color w:val="000000"/>
          <w:sz w:val="28"/>
        </w:rPr>
        <w:t>
      8) управление существующим и потенциальным конфликтом интересов в Фонде.</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9. Система управления рисками Организации охватывает следующие направления ее деятельности: </w:t>
      </w:r>
      <w:r>
        <w:br/>
      </w:r>
      <w:r>
        <w:rPr>
          <w:rFonts w:ascii="Times New Roman"/>
          <w:b w:val="false"/>
          <w:i w:val="false"/>
          <w:color w:val="000000"/>
          <w:sz w:val="28"/>
        </w:rPr>
        <w:t xml:space="preserve">
      1) проведение регулярного анализа инвестиционных возможностей с учетом прогнозных значений показателей финансового рынка, включая рынок пенсионных услуг и рынок ценных бумаг, и подготовка на основании данного анализа рекомендаций для принятия инвестиционных решений; </w:t>
      </w:r>
      <w:r>
        <w:br/>
      </w:r>
      <w:r>
        <w:rPr>
          <w:rFonts w:ascii="Times New Roman"/>
          <w:b w:val="false"/>
          <w:i w:val="false"/>
          <w:color w:val="000000"/>
          <w:sz w:val="28"/>
        </w:rPr>
        <w:t xml:space="preserve">
      2) разработка и утверждение политики инвестирования собственных активов Организации, участие в разработке инвестиционной декларации по пенсионным активам; </w:t>
      </w:r>
      <w:r>
        <w:br/>
      </w:r>
      <w:r>
        <w:rPr>
          <w:rFonts w:ascii="Times New Roman"/>
          <w:b w:val="false"/>
          <w:i w:val="false"/>
          <w:color w:val="000000"/>
          <w:sz w:val="28"/>
        </w:rPr>
        <w:t xml:space="preserve">
      3) установление лимитов инвестирования, максимального допустимого размера убытков, лимитов "stop-loss", "take-profit" и гэп-позиции; </w:t>
      </w:r>
      <w:r>
        <w:br/>
      </w:r>
      <w:r>
        <w:rPr>
          <w:rFonts w:ascii="Times New Roman"/>
          <w:b w:val="false"/>
          <w:i w:val="false"/>
          <w:color w:val="000000"/>
          <w:sz w:val="28"/>
        </w:rPr>
        <w:t xml:space="preserve">
      4) принятие инвестиционных решений в отношении активов, принятых в инвестиционное управление; </w:t>
      </w:r>
      <w:r>
        <w:br/>
      </w:r>
      <w:r>
        <w:rPr>
          <w:rFonts w:ascii="Times New Roman"/>
          <w:b w:val="false"/>
          <w:i w:val="false"/>
          <w:color w:val="000000"/>
          <w:sz w:val="28"/>
        </w:rPr>
        <w:t xml:space="preserve">
      5) принятие инвестиционных решений в отношении собственных активов; </w:t>
      </w:r>
      <w:r>
        <w:br/>
      </w:r>
      <w:r>
        <w:rPr>
          <w:rFonts w:ascii="Times New Roman"/>
          <w:b w:val="false"/>
          <w:i w:val="false"/>
          <w:color w:val="000000"/>
          <w:sz w:val="28"/>
        </w:rPr>
        <w:t xml:space="preserve">
      6) мониторинг соблюдения в процессе инвестирования требований, установленных законодательством Республики Казахстан о рынке ценных бумаг и пенсионном обеспечении, инвестиционной декларацией по пенсионным активам и политикой инвестирования собственных активов; </w:t>
      </w:r>
      <w:r>
        <w:br/>
      </w:r>
      <w:r>
        <w:rPr>
          <w:rFonts w:ascii="Times New Roman"/>
          <w:b w:val="false"/>
          <w:i w:val="false"/>
          <w:color w:val="000000"/>
          <w:sz w:val="28"/>
        </w:rPr>
        <w:t xml:space="preserve">
      7) осуществление стресс-тестинга подверженности инвестиционного портфеля, сформированного за счет активов, принятых в инвестиционное управление, возможным убыткам; </w:t>
      </w:r>
      <w:r>
        <w:br/>
      </w:r>
      <w:r>
        <w:rPr>
          <w:rFonts w:ascii="Times New Roman"/>
          <w:b w:val="false"/>
          <w:i w:val="false"/>
          <w:color w:val="000000"/>
          <w:sz w:val="28"/>
        </w:rPr>
        <w:t xml:space="preserve">
      8) осуществление стресс-тестинга подверженности инвестиционных портфелей, сформированных за счет собственных активов возможным убыткам; </w:t>
      </w:r>
      <w:r>
        <w:br/>
      </w:r>
      <w:r>
        <w:rPr>
          <w:rFonts w:ascii="Times New Roman"/>
          <w:b w:val="false"/>
          <w:i w:val="false"/>
          <w:color w:val="000000"/>
          <w:sz w:val="28"/>
        </w:rPr>
        <w:t xml:space="preserve">
      9) создание организационно-функциональной структуры управления Организацией; </w:t>
      </w:r>
      <w:r>
        <w:br/>
      </w:r>
      <w:r>
        <w:rPr>
          <w:rFonts w:ascii="Times New Roman"/>
          <w:b w:val="false"/>
          <w:i w:val="false"/>
          <w:color w:val="000000"/>
          <w:sz w:val="28"/>
        </w:rPr>
        <w:t xml:space="preserve">
      10) разработка и утверждение внутренних процедур и документов; </w:t>
      </w:r>
      <w:r>
        <w:br/>
      </w:r>
      <w:r>
        <w:rPr>
          <w:rFonts w:ascii="Times New Roman"/>
          <w:b w:val="false"/>
          <w:i w:val="false"/>
          <w:color w:val="000000"/>
          <w:sz w:val="28"/>
        </w:rPr>
        <w:t>
      11) предоставление информации, необходимой для принятия решений, заинтересованным органам и структурным подразделениям Организации, а также порядок обмена информацией с Фондом;</w:t>
      </w:r>
      <w:r>
        <w:br/>
      </w:r>
      <w:r>
        <w:rPr>
          <w:rFonts w:ascii="Times New Roman"/>
          <w:b w:val="false"/>
          <w:i w:val="false"/>
          <w:color w:val="000000"/>
          <w:sz w:val="28"/>
        </w:rPr>
        <w:t>
      12) управление существующим и потенциальным конфликтом интересов в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10. Система управления рисками Фонда, осуществляющего управление пенсионными активами на основании лицензии на осуществление деятельности по инвестиционному управлению пенсионными активами, охватывает направления его деятельности, перечисленные в пункте 8 и подпунктах 3)-8) пункта 9 настоящей Инструкции. </w:t>
      </w:r>
      <w:r>
        <w:br/>
      </w:r>
      <w:r>
        <w:rPr>
          <w:rFonts w:ascii="Times New Roman"/>
          <w:b w:val="false"/>
          <w:i w:val="false"/>
          <w:color w:val="000000"/>
          <w:sz w:val="28"/>
        </w:rPr>
        <w:t xml:space="preserve">
      Система управления рисками Фонда, самостоятельно принимающего решения в отношении инвестирования собственных активов Фонда, охватывает направления его деятельности, перечисленные в пункте 8 и в подпунктах 1), 3), 5), 8) пункта 9 настоящей Инструкции. </w:t>
      </w:r>
    </w:p>
    <w:bookmarkEnd w:id="6"/>
    <w:bookmarkStart w:name="z52" w:id="7"/>
    <w:p>
      <w:pPr>
        <w:spacing w:after="0"/>
        <w:ind w:left="0"/>
        <w:jc w:val="left"/>
      </w:pPr>
      <w:r>
        <w:rPr>
          <w:rFonts w:ascii="Times New Roman"/>
          <w:b/>
          <w:i w:val="false"/>
          <w:color w:val="000000"/>
        </w:rPr>
        <w:t xml:space="preserve"> 
Глава 3. Требования к внутренним документам Фонда (Организации) </w:t>
      </w:r>
    </w:p>
    <w:bookmarkEnd w:id="7"/>
    <w:bookmarkStart w:name="z53" w:id="8"/>
    <w:p>
      <w:pPr>
        <w:spacing w:after="0"/>
        <w:ind w:left="0"/>
        <w:jc w:val="both"/>
      </w:pPr>
      <w:r>
        <w:rPr>
          <w:rFonts w:ascii="Times New Roman"/>
          <w:b w:val="false"/>
          <w:i w:val="false"/>
          <w:color w:val="000000"/>
          <w:sz w:val="28"/>
        </w:rPr>
        <w:t xml:space="preserve">
      11. Внутренние документы Фонда (Организации) включают: </w:t>
      </w:r>
      <w:r>
        <w:br/>
      </w:r>
      <w:r>
        <w:rPr>
          <w:rFonts w:ascii="Times New Roman"/>
          <w:b w:val="false"/>
          <w:i w:val="false"/>
          <w:color w:val="000000"/>
          <w:sz w:val="28"/>
        </w:rPr>
        <w:t xml:space="preserve">
      1) положение об организационно-функциональной структуре управления Фонда (Организации); </w:t>
      </w:r>
      <w:r>
        <w:br/>
      </w:r>
      <w:r>
        <w:rPr>
          <w:rFonts w:ascii="Times New Roman"/>
          <w:b w:val="false"/>
          <w:i w:val="false"/>
          <w:color w:val="000000"/>
          <w:sz w:val="28"/>
        </w:rPr>
        <w:t xml:space="preserve">
      2) порядок стратегического планирования на долгосрочный период и составления годового бюджета/финансового плана на краткосрочный и среднесрочный периоды; </w:t>
      </w:r>
      <w:r>
        <w:br/>
      </w:r>
      <w:r>
        <w:rPr>
          <w:rFonts w:ascii="Times New Roman"/>
          <w:b w:val="false"/>
          <w:i w:val="false"/>
          <w:color w:val="000000"/>
          <w:sz w:val="28"/>
        </w:rPr>
        <w:t xml:space="preserve">
      3) корпоративную стратегию Фонда (Организации); </w:t>
      </w:r>
      <w:r>
        <w:br/>
      </w:r>
      <w:r>
        <w:rPr>
          <w:rFonts w:ascii="Times New Roman"/>
          <w:b w:val="false"/>
          <w:i w:val="false"/>
          <w:color w:val="000000"/>
          <w:sz w:val="28"/>
        </w:rPr>
        <w:t xml:space="preserve">
      4) учетную политику Фонда (Организации); </w:t>
      </w:r>
      <w:r>
        <w:br/>
      </w:r>
      <w:r>
        <w:rPr>
          <w:rFonts w:ascii="Times New Roman"/>
          <w:b w:val="false"/>
          <w:i w:val="false"/>
          <w:color w:val="000000"/>
          <w:sz w:val="28"/>
        </w:rPr>
        <w:t xml:space="preserve">
      5) пенсионные правила Фонда; </w:t>
      </w:r>
      <w:r>
        <w:br/>
      </w:r>
      <w:r>
        <w:rPr>
          <w:rFonts w:ascii="Times New Roman"/>
          <w:b w:val="false"/>
          <w:i w:val="false"/>
          <w:color w:val="000000"/>
          <w:sz w:val="28"/>
        </w:rPr>
        <w:t xml:space="preserve">
      6) внутренние правила инвестирования Фонда (Организации); </w:t>
      </w:r>
      <w:r>
        <w:br/>
      </w:r>
      <w:r>
        <w:rPr>
          <w:rFonts w:ascii="Times New Roman"/>
          <w:b w:val="false"/>
          <w:i w:val="false"/>
          <w:color w:val="000000"/>
          <w:sz w:val="28"/>
        </w:rPr>
        <w:t>
      7) политику инвестирования собственных активов Фонда (Организации);</w:t>
      </w:r>
      <w:r>
        <w:br/>
      </w:r>
      <w:r>
        <w:rPr>
          <w:rFonts w:ascii="Times New Roman"/>
          <w:b w:val="false"/>
          <w:i w:val="false"/>
          <w:color w:val="000000"/>
          <w:sz w:val="28"/>
        </w:rPr>
        <w:t xml:space="preserve">
      8) политику Фонда (Организации) по управлению рисками; </w:t>
      </w:r>
      <w:r>
        <w:br/>
      </w:r>
      <w:r>
        <w:rPr>
          <w:rFonts w:ascii="Times New Roman"/>
          <w:b w:val="false"/>
          <w:i w:val="false"/>
          <w:color w:val="000000"/>
          <w:sz w:val="28"/>
        </w:rPr>
        <w:t>
      9) процедуры осуществления анализа и мониторинга контрпартнеров;</w:t>
      </w:r>
      <w:r>
        <w:br/>
      </w:r>
      <w:r>
        <w:rPr>
          <w:rFonts w:ascii="Times New Roman"/>
          <w:b w:val="false"/>
          <w:i w:val="false"/>
          <w:color w:val="000000"/>
          <w:sz w:val="28"/>
        </w:rPr>
        <w:t xml:space="preserve">
      10) правила обеспечения информационной безопасности; </w:t>
      </w:r>
      <w:r>
        <w:br/>
      </w:r>
      <w:r>
        <w:rPr>
          <w:rFonts w:ascii="Times New Roman"/>
          <w:b w:val="false"/>
          <w:i w:val="false"/>
          <w:color w:val="000000"/>
          <w:sz w:val="28"/>
        </w:rPr>
        <w:t xml:space="preserve">
      11) правила расчета и взимания комиссионного вознаграждения за оказание финансовых услуг; </w:t>
      </w:r>
      <w:r>
        <w:br/>
      </w:r>
      <w:r>
        <w:rPr>
          <w:rFonts w:ascii="Times New Roman"/>
          <w:b w:val="false"/>
          <w:i w:val="false"/>
          <w:color w:val="000000"/>
          <w:sz w:val="28"/>
        </w:rPr>
        <w:t>
      12) процедуры осуществления внутреннего аудита и внутреннего контроля;</w:t>
      </w:r>
      <w:r>
        <w:br/>
      </w:r>
      <w:r>
        <w:rPr>
          <w:rFonts w:ascii="Times New Roman"/>
          <w:b w:val="false"/>
          <w:i w:val="false"/>
          <w:color w:val="000000"/>
          <w:sz w:val="28"/>
        </w:rPr>
        <w:t>
      12-1) политика управления существующим и потенциальным конфликтом интересов;</w:t>
      </w:r>
      <w:r>
        <w:br/>
      </w:r>
      <w:r>
        <w:rPr>
          <w:rFonts w:ascii="Times New Roman"/>
          <w:b w:val="false"/>
          <w:i w:val="false"/>
          <w:color w:val="000000"/>
          <w:sz w:val="28"/>
        </w:rPr>
        <w:t xml:space="preserve">
      13) правила ведения журналов системы внутреннего учета; </w:t>
      </w:r>
      <w:r>
        <w:br/>
      </w:r>
      <w:r>
        <w:rPr>
          <w:rFonts w:ascii="Times New Roman"/>
          <w:b w:val="false"/>
          <w:i w:val="false"/>
          <w:color w:val="000000"/>
          <w:sz w:val="28"/>
        </w:rPr>
        <w:t xml:space="preserve">
      14) инструкцию по технике безопасности; </w:t>
      </w:r>
      <w:r>
        <w:br/>
      </w:r>
      <w:r>
        <w:rPr>
          <w:rFonts w:ascii="Times New Roman"/>
          <w:b w:val="false"/>
          <w:i w:val="false"/>
          <w:color w:val="000000"/>
          <w:sz w:val="28"/>
        </w:rPr>
        <w:t xml:space="preserve">
      15) иные документы, установленные советом директоров Фонда (Организации).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12. Внутренние документы Фонда (Организации), указанные в пункте 11 настоящей Инструкции, составляются в качестве отдельного документа либо включаются в состав других внутренних документов Фонда (Организации) и после согласования с подразделением Фонда (Организации), осуществляющим управление рисками в Фонде (Организации), утверждаются советом директоров Фонда (Организации), за исключением внутренних документов, предусмотренных подпунктами 1) и 14) пункта 11 настоящей Инструкции, которые утверждаются правлением Фонда (Организации). </w:t>
      </w:r>
      <w:r>
        <w:br/>
      </w:r>
      <w:r>
        <w:rPr>
          <w:rFonts w:ascii="Times New Roman"/>
          <w:b w:val="false"/>
          <w:i w:val="false"/>
          <w:color w:val="000000"/>
          <w:sz w:val="28"/>
        </w:rPr>
        <w:t>
</w:t>
      </w:r>
      <w:r>
        <w:rPr>
          <w:rFonts w:ascii="Times New Roman"/>
          <w:b w:val="false"/>
          <w:i w:val="false"/>
          <w:color w:val="000000"/>
          <w:sz w:val="28"/>
        </w:rPr>
        <w:t xml:space="preserve">
      13. Положение об организационно-функциональной структуре управления Фонда (Организации) определяет: </w:t>
      </w:r>
      <w:r>
        <w:br/>
      </w:r>
      <w:r>
        <w:rPr>
          <w:rFonts w:ascii="Times New Roman"/>
          <w:b w:val="false"/>
          <w:i w:val="false"/>
          <w:color w:val="000000"/>
          <w:sz w:val="28"/>
        </w:rPr>
        <w:t>
      1) структуру органов, соответствующую их функциональным обязанностям;</w:t>
      </w:r>
      <w:r>
        <w:br/>
      </w:r>
      <w:r>
        <w:rPr>
          <w:rFonts w:ascii="Times New Roman"/>
          <w:b w:val="false"/>
          <w:i w:val="false"/>
          <w:color w:val="000000"/>
          <w:sz w:val="28"/>
        </w:rPr>
        <w:t xml:space="preserve">
      2) описание порядка взаимодействия между органами, филиалами и представительствами, структурными подразделениями, работниками; </w:t>
      </w:r>
      <w:r>
        <w:br/>
      </w:r>
      <w:r>
        <w:rPr>
          <w:rFonts w:ascii="Times New Roman"/>
          <w:b w:val="false"/>
          <w:i w:val="false"/>
          <w:color w:val="000000"/>
          <w:sz w:val="28"/>
        </w:rPr>
        <w:t>
      3) положения об органах (за исключением положений об органах, утверждение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и уставом Фонда (Организации) отнесено к компетенции совета директоров или общего собрания акционеров), структурных подразделениях, включающие описание их функций, обязанностей и полномочий, а также формы и сроки представления отчетности и информации высшему органу и органу управления Фонда и (или) Организации. Перечень информации, представляемой высшему органу и органу управления Фонда (Организации), составляется с учетом необходимости предоставления органам Фонда (Организации) достаточного для надлежащего исполнения их функциональных обязанностей объема информации;</w:t>
      </w:r>
      <w:r>
        <w:br/>
      </w:r>
      <w:r>
        <w:rPr>
          <w:rFonts w:ascii="Times New Roman"/>
          <w:b w:val="false"/>
          <w:i w:val="false"/>
          <w:color w:val="000000"/>
          <w:sz w:val="28"/>
        </w:rPr>
        <w:t xml:space="preserve">
      4) должностные инструкции работников; </w:t>
      </w:r>
      <w:r>
        <w:br/>
      </w:r>
      <w:r>
        <w:rPr>
          <w:rFonts w:ascii="Times New Roman"/>
          <w:b w:val="false"/>
          <w:i w:val="false"/>
          <w:color w:val="000000"/>
          <w:sz w:val="28"/>
        </w:rPr>
        <w:t xml:space="preserve">
      5) наличие в организационной структуре Фонда (Организации), обладающих двумя и более лицензиями на осуществление деятельности на финансовом рынке, отдельных подразделений по каждому виду деятельности и недопущение возложения на работников одного из подразделений исполнения функций и обязанностей работников другого подразделения; </w:t>
      </w:r>
      <w:r>
        <w:br/>
      </w:r>
      <w:r>
        <w:rPr>
          <w:rFonts w:ascii="Times New Roman"/>
          <w:b w:val="false"/>
          <w:i w:val="false"/>
          <w:color w:val="000000"/>
          <w:sz w:val="28"/>
        </w:rPr>
        <w:t xml:space="preserve">
      6) недопущение возложения на работников подразделения, осуществляющего управление рисками, и службы внутреннего аудита функций других подразделений Фонда (Организации); </w:t>
      </w:r>
      <w:r>
        <w:br/>
      </w:r>
      <w:r>
        <w:rPr>
          <w:rFonts w:ascii="Times New Roman"/>
          <w:b w:val="false"/>
          <w:i w:val="false"/>
          <w:color w:val="000000"/>
          <w:sz w:val="28"/>
        </w:rPr>
        <w:t xml:space="preserve">
      7) порядок оценки эффективности деятельности структурных подразделений и работников в течение отчетного периода, в том числе применение мер за невыполнение (некачественное или несвоевременное выполнение) возложенных на них функций и задач. </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14.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 а также корпоративная стратегия Фонда (Организации) составляются и пересматриваются с целью учета объективных макро- и микроэкономических факторов, влияющих на деятельность Фонда (Организации). </w:t>
      </w:r>
      <w:r>
        <w:br/>
      </w:r>
      <w:r>
        <w:rPr>
          <w:rFonts w:ascii="Times New Roman"/>
          <w:b w:val="false"/>
          <w:i w:val="false"/>
          <w:color w:val="000000"/>
          <w:sz w:val="28"/>
        </w:rPr>
        <w:t xml:space="preserve">
      Корпоративная стратегия определяет краткосрочные (до года), среднесрочные (от года до трех лет) и долгосрочные (от трех лет и более) цели деятельности Фонда (Организации), маркетинговые планы. </w:t>
      </w:r>
      <w:r>
        <w:br/>
      </w:r>
      <w:r>
        <w:rPr>
          <w:rFonts w:ascii="Times New Roman"/>
          <w:b w:val="false"/>
          <w:i w:val="false"/>
          <w:color w:val="000000"/>
          <w:sz w:val="28"/>
        </w:rPr>
        <w:t>
</w:t>
      </w:r>
      <w:r>
        <w:rPr>
          <w:rFonts w:ascii="Times New Roman"/>
          <w:b w:val="false"/>
          <w:i w:val="false"/>
          <w:color w:val="000000"/>
          <w:sz w:val="28"/>
        </w:rPr>
        <w:t xml:space="preserve">
      15. Учетная политика Фонда (Организации) составляется в соответствии с требованиями пенсионного законодательства Республики Казахстан, законодательства Республики Казахстан о бухгалтерском учете и финансовой отчетности и международных стандартов финансовой отчетности в части, не противоречащей требованиям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Пенсионные правила Фонда устанавливают особенности правоотношений, возникающих между Фондом и вкладчиками (получателями) и включают: </w:t>
      </w:r>
      <w:r>
        <w:br/>
      </w:r>
      <w:r>
        <w:rPr>
          <w:rFonts w:ascii="Times New Roman"/>
          <w:b w:val="false"/>
          <w:i w:val="false"/>
          <w:color w:val="000000"/>
          <w:sz w:val="28"/>
        </w:rPr>
        <w:t>
      1)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29 Закона о пенсионном обеспечении; </w:t>
      </w:r>
      <w:r>
        <w:br/>
      </w:r>
      <w:r>
        <w:rPr>
          <w:rFonts w:ascii="Times New Roman"/>
          <w:b w:val="false"/>
          <w:i w:val="false"/>
          <w:color w:val="000000"/>
          <w:sz w:val="28"/>
        </w:rPr>
        <w:t xml:space="preserve">
      2) порядок организации работы с вкладчиками (получателями) и учета их пенсионных накоплений, включая, но не ограничиваясь процедурами по: </w:t>
      </w:r>
      <w:r>
        <w:br/>
      </w:r>
      <w:r>
        <w:rPr>
          <w:rFonts w:ascii="Times New Roman"/>
          <w:b w:val="false"/>
          <w:i w:val="false"/>
          <w:color w:val="000000"/>
          <w:sz w:val="28"/>
        </w:rPr>
        <w:t xml:space="preserve">
      обеспечению достоверности учета и своевременности поступления средств на индивидуальные пенсионные счета вкладчиков (получателей), выплат и переводов пенсионных накоплений; </w:t>
      </w:r>
      <w:r>
        <w:br/>
      </w:r>
      <w:r>
        <w:rPr>
          <w:rFonts w:ascii="Times New Roman"/>
          <w:b w:val="false"/>
          <w:i w:val="false"/>
          <w:color w:val="000000"/>
          <w:sz w:val="28"/>
        </w:rPr>
        <w:t xml:space="preserve">
      рассмотрению жалоб и обращений вкладчиков (получателей) с указанием сроков их рассмотрения и требований к содержанию ответа Фонда, направленного вкладчику (получателю) по результатам рассмотрения жалоб и обращений вкладчиков (получателей); </w:t>
      </w:r>
      <w:r>
        <w:br/>
      </w:r>
      <w:r>
        <w:rPr>
          <w:rFonts w:ascii="Times New Roman"/>
          <w:b w:val="false"/>
          <w:i w:val="false"/>
          <w:color w:val="000000"/>
          <w:sz w:val="28"/>
        </w:rPr>
        <w:t xml:space="preserve">
      обеспечению своевременности осуществления переводов и выплат пенсионных накоплений вкладчиков (получателей); </w:t>
      </w:r>
      <w:r>
        <w:br/>
      </w:r>
      <w:r>
        <w:rPr>
          <w:rFonts w:ascii="Times New Roman"/>
          <w:b w:val="false"/>
          <w:i w:val="false"/>
          <w:color w:val="000000"/>
          <w:sz w:val="28"/>
        </w:rPr>
        <w:t>
      обеспечению соответствия учета пенсионных активов требованиям пенсионного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и международных стандартов финансовой отчетности в части, не противоречащей требованиям действующего законодательства Республики Казахстан; </w:t>
      </w:r>
      <w:r>
        <w:br/>
      </w:r>
      <w:r>
        <w:rPr>
          <w:rFonts w:ascii="Times New Roman"/>
          <w:b w:val="false"/>
          <w:i w:val="false"/>
          <w:color w:val="000000"/>
          <w:sz w:val="28"/>
        </w:rPr>
        <w:t xml:space="preserve">
      обеспечению мониторинга соответствия учета пенсионных активов и своевременности инвестирования пенсионных активов требованиям пенсионного законодательства Республики Казахстан; </w:t>
      </w:r>
      <w:r>
        <w:br/>
      </w:r>
      <w:r>
        <w:rPr>
          <w:rFonts w:ascii="Times New Roman"/>
          <w:b w:val="false"/>
          <w:i w:val="false"/>
          <w:color w:val="000000"/>
          <w:sz w:val="28"/>
        </w:rPr>
        <w:t xml:space="preserve">
      осуществлению проверки правильности начисления комиссионного вознаграждения; </w:t>
      </w:r>
      <w:r>
        <w:br/>
      </w:r>
      <w:r>
        <w:rPr>
          <w:rFonts w:ascii="Times New Roman"/>
          <w:b w:val="false"/>
          <w:i w:val="false"/>
          <w:color w:val="000000"/>
          <w:sz w:val="28"/>
        </w:rPr>
        <w:t xml:space="preserve">
      при наличии договоров между Фондом и физическими лицами, привлекаемыми для заключения с вкладчиками (получателями) договоров о пенсионном обеспечении, - процедуры по контролю за их деятельностью; </w:t>
      </w:r>
      <w:r>
        <w:br/>
      </w:r>
      <w:r>
        <w:rPr>
          <w:rFonts w:ascii="Times New Roman"/>
          <w:b w:val="false"/>
          <w:i w:val="false"/>
          <w:color w:val="000000"/>
          <w:sz w:val="28"/>
        </w:rPr>
        <w:t xml:space="preserve">
      3) инвестиционную декларацию, разрабатываемую и утверждаемую в соответствии с требованиями главы 4 настоящей Инструкции; </w:t>
      </w:r>
      <w:r>
        <w:br/>
      </w:r>
      <w:r>
        <w:rPr>
          <w:rFonts w:ascii="Times New Roman"/>
          <w:b w:val="false"/>
          <w:i w:val="false"/>
          <w:color w:val="000000"/>
          <w:sz w:val="28"/>
        </w:rPr>
        <w:t xml:space="preserve">
      4) типовые формы документов, используемые Фондом в процессе деятельности по привлечению пенсионных взносов и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17. Внутренние Правила инвестирования Фонда (Организации) устанавливают условия и порядок осуществления деятельности по инвестиционному управлению пенсионными и (или) собственными активами, права и обязанности управляющего пенсионными и (или) собственными активами, типовые формы документов, используемых в процессе деятельности по инвестиционному управлению пенсионными и (или) собственными активами и включают описание процедур по: </w:t>
      </w:r>
      <w:r>
        <w:br/>
      </w:r>
      <w:r>
        <w:rPr>
          <w:rFonts w:ascii="Times New Roman"/>
          <w:b w:val="false"/>
          <w:i w:val="false"/>
          <w:color w:val="000000"/>
          <w:sz w:val="28"/>
        </w:rPr>
        <w:t xml:space="preserve">
      1) разработке инвестиционной декларации; </w:t>
      </w:r>
      <w:r>
        <w:br/>
      </w:r>
      <w:r>
        <w:rPr>
          <w:rFonts w:ascii="Times New Roman"/>
          <w:b w:val="false"/>
          <w:i w:val="false"/>
          <w:color w:val="000000"/>
          <w:sz w:val="28"/>
        </w:rPr>
        <w:t xml:space="preserve">
      2) разработке политики инвестирования собственных активов Фонда (Организации); </w:t>
      </w:r>
      <w:r>
        <w:br/>
      </w:r>
      <w:r>
        <w:rPr>
          <w:rFonts w:ascii="Times New Roman"/>
          <w:b w:val="false"/>
          <w:i w:val="false"/>
          <w:color w:val="000000"/>
          <w:sz w:val="28"/>
        </w:rPr>
        <w:t xml:space="preserve">
      3) подготовке рекомендаций для принятия инвестиционных решений в отношении пенсионных и (или) собственных активов Фонда (Организации), предусматривающих: </w:t>
      </w:r>
      <w:r>
        <w:br/>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xml:space="preserve">
      порядок осуществления анализа состояния инвестиционного портфеля за счет пенсионных или собственных активов; </w:t>
      </w:r>
      <w:r>
        <w:br/>
      </w:r>
      <w:r>
        <w:rPr>
          <w:rFonts w:ascii="Times New Roman"/>
          <w:b w:val="false"/>
          <w:i w:val="false"/>
          <w:color w:val="000000"/>
          <w:sz w:val="28"/>
        </w:rPr>
        <w:t xml:space="preserve">
      порядок осуществления анализа наличия, условий обращения и доходности финансовых инструментов, в которые предполагается осуществить инвестирование; </w:t>
      </w:r>
      <w:r>
        <w:br/>
      </w:r>
      <w:r>
        <w:rPr>
          <w:rFonts w:ascii="Times New Roman"/>
          <w:b w:val="false"/>
          <w:i w:val="false"/>
          <w:color w:val="000000"/>
          <w:sz w:val="28"/>
        </w:rPr>
        <w:t xml:space="preserve">
      порядок осуществления анализа рисков, связанных с финансовыми инструментами, в которые предполагается осуществить инвестирование; </w:t>
      </w:r>
      <w:r>
        <w:br/>
      </w:r>
      <w:r>
        <w:rPr>
          <w:rFonts w:ascii="Times New Roman"/>
          <w:b w:val="false"/>
          <w:i w:val="false"/>
          <w:color w:val="000000"/>
          <w:sz w:val="28"/>
        </w:rPr>
        <w:t>
      порядок осуществления анализа соблюдения норм диверсификации, установленных постановлениями Правления Агентства Республики Казахстан по регулированию и надзору финансового рынка и финансовых организаций от 5 августа 2009 года </w:t>
      </w:r>
      <w:r>
        <w:rPr>
          <w:rFonts w:ascii="Times New Roman"/>
          <w:b w:val="false"/>
          <w:i w:val="false"/>
          <w:color w:val="000000"/>
          <w:sz w:val="28"/>
        </w:rPr>
        <w:t>№ 180</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(зарегистрированным в Реестре государственной регистрации нормативных правовых актов Республики Казахстан под № 5789) (далее – постановление № 180), от 5 августа 2009 года </w:t>
      </w:r>
      <w:r>
        <w:rPr>
          <w:rFonts w:ascii="Times New Roman"/>
          <w:b w:val="false"/>
          <w:i w:val="false"/>
          <w:color w:val="000000"/>
          <w:sz w:val="28"/>
        </w:rPr>
        <w:t>№ 181</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Республики Казахстан под № 5793) (далее – постановление № 181), от 5 августа 2009 года </w:t>
      </w:r>
      <w:r>
        <w:rPr>
          <w:rFonts w:ascii="Times New Roman"/>
          <w:b w:val="false"/>
          <w:i w:val="false"/>
          <w:color w:val="000000"/>
          <w:sz w:val="28"/>
        </w:rPr>
        <w:t>№ 189</w:t>
      </w:r>
      <w:r>
        <w:rPr>
          <w:rFonts w:ascii="Times New Roman"/>
          <w:b w:val="false"/>
          <w:i w:val="false"/>
          <w:color w:val="000000"/>
          <w:sz w:val="28"/>
        </w:rPr>
        <w:t xml:space="preserve">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(зарегистрированным в Реестре государственной регистрации нормативных правовых актов под № 5794), от 26 сентября 2009 года </w:t>
      </w:r>
      <w:r>
        <w:rPr>
          <w:rFonts w:ascii="Times New Roman"/>
          <w:b w:val="false"/>
          <w:i w:val="false"/>
          <w:color w:val="000000"/>
          <w:sz w:val="28"/>
        </w:rPr>
        <w:t>№ 215</w:t>
      </w:r>
      <w:r>
        <w:rPr>
          <w:rFonts w:ascii="Times New Roman"/>
          <w:b w:val="false"/>
          <w:i w:val="false"/>
          <w:color w:val="000000"/>
          <w:sz w:val="28"/>
        </w:rPr>
        <w:t xml:space="preserve">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xml:space="preserve">
      порядок осуществления анализа факторов, существенных для выдачи рекомендаций; </w:t>
      </w:r>
      <w:r>
        <w:br/>
      </w:r>
      <w:r>
        <w:rPr>
          <w:rFonts w:ascii="Times New Roman"/>
          <w:b w:val="false"/>
          <w:i w:val="false"/>
          <w:color w:val="000000"/>
          <w:sz w:val="28"/>
        </w:rPr>
        <w:t xml:space="preserve">
      4) принятию инвестиционных решений в отношении пенсионных и (или) собственных активов Фонда (Организации), содержащие описание работы инвестиционного комитета, уполномоченного на принятие инвестиционных решений, периодичность проведения и оформления результатов заседаний; </w:t>
      </w:r>
      <w:r>
        <w:br/>
      </w:r>
      <w:r>
        <w:rPr>
          <w:rFonts w:ascii="Times New Roman"/>
          <w:b w:val="false"/>
          <w:i w:val="false"/>
          <w:color w:val="000000"/>
          <w:sz w:val="28"/>
        </w:rPr>
        <w:t xml:space="preserve">
      5) взаимодействию органов и структурных подразделений Фонда (Организации) в процессе подготовки, принятия и исполнения инвестиционных решений, в случае передачи Фондом пенсионных и (или) собственных активов в инвестиционное управление Организации – процедуры по взаимодействию структурных подразделений Организации и Фонда в процессе подготовки, принятия и исполнения инвестиционных решений; </w:t>
      </w:r>
      <w:r>
        <w:br/>
      </w:r>
      <w:r>
        <w:rPr>
          <w:rFonts w:ascii="Times New Roman"/>
          <w:b w:val="false"/>
          <w:i w:val="false"/>
          <w:color w:val="000000"/>
          <w:sz w:val="28"/>
        </w:rPr>
        <w:t xml:space="preserve">
      6) совершению сделок с участием пенсионных и (или) собственных активов и осуществлению контроля за их исполнением, содержащие описание процессов по взаимодействию с посредником (брокером), с помощью которого предполагается совершение сделки (при наличии такового) с участием пенсионных и (или) собственных активов, контролю за совершением сделок с участием пенсионных и (или)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пенсионных и (или) собственных активов; </w:t>
      </w:r>
      <w:r>
        <w:br/>
      </w:r>
      <w:r>
        <w:rPr>
          <w:rFonts w:ascii="Times New Roman"/>
          <w:b w:val="false"/>
          <w:i w:val="false"/>
          <w:color w:val="000000"/>
          <w:sz w:val="28"/>
        </w:rPr>
        <w:t xml:space="preserve">
      7) подготовке отчетности о результатах деятельности по инвестиционному управлению пенсионными и (или) собственными активами перед уполномоченным органом, соответствующими органами Фонда (Организации), Фондами, передавшими пенсионные и (или) собственные активы в инвестиционное управление (для Организации). </w:t>
      </w:r>
      <w:r>
        <w:br/>
      </w:r>
      <w:r>
        <w:rPr>
          <w:rFonts w:ascii="Times New Roman"/>
          <w:b w:val="false"/>
          <w:i w:val="false"/>
          <w:color w:val="000000"/>
          <w:sz w:val="28"/>
        </w:rPr>
        <w:t>
      </w:t>
      </w:r>
      <w:r>
        <w:rPr>
          <w:rFonts w:ascii="Times New Roman"/>
          <w:b w:val="false"/>
          <w:i w:val="false"/>
          <w:color w:val="ff0000"/>
          <w:sz w:val="28"/>
        </w:rPr>
        <w:t>Сноска. Пункт 17</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постановлениями Правления АФН РК от 29.03.2010 </w:t>
      </w:r>
      <w:r>
        <w:rPr>
          <w:rFonts w:ascii="Times New Roman"/>
          <w:b w:val="false"/>
          <w:i w:val="false"/>
          <w:color w:val="000000"/>
          <w:sz w:val="28"/>
        </w:rPr>
        <w:t>№ 49</w:t>
      </w:r>
      <w:r>
        <w:rPr>
          <w:rFonts w:ascii="Times New Roman"/>
          <w:b w:val="false"/>
          <w:i w:val="false"/>
          <w:color w:val="ff0000"/>
          <w:sz w:val="28"/>
        </w:rPr>
        <w:t xml:space="preserve">;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18. Политика инвестирования собственных активов Фонда (Организации) разрабатывается и утверждается в соответствии с требованиями главы 4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19. Политика Фонда (Организации) по управлению рисками определяет: </w:t>
      </w:r>
      <w:r>
        <w:br/>
      </w:r>
      <w:r>
        <w:rPr>
          <w:rFonts w:ascii="Times New Roman"/>
          <w:b w:val="false"/>
          <w:i w:val="false"/>
          <w:color w:val="000000"/>
          <w:sz w:val="28"/>
        </w:rPr>
        <w:t xml:space="preserve">
      1) полномочия и функциональные обязанности по управлению рисками членов совета директоров, правления и ответственных работников Фонда (Организации); </w:t>
      </w:r>
      <w:r>
        <w:br/>
      </w:r>
      <w:r>
        <w:rPr>
          <w:rFonts w:ascii="Times New Roman"/>
          <w:b w:val="false"/>
          <w:i w:val="false"/>
          <w:color w:val="000000"/>
          <w:sz w:val="28"/>
        </w:rPr>
        <w:t xml:space="preserve">
      2) квалификационные требования к руководящим работникам Фонда (Организации), а также работникам подразделений, осуществляющих управление рисками и лицензируемые виды деятельности на финансовом рынке, включая, но, не ограничиваясь, требованиями по наличию образования и стажа работы; </w:t>
      </w:r>
      <w:r>
        <w:br/>
      </w:r>
      <w:r>
        <w:rPr>
          <w:rFonts w:ascii="Times New Roman"/>
          <w:b w:val="false"/>
          <w:i w:val="false"/>
          <w:color w:val="000000"/>
          <w:sz w:val="28"/>
        </w:rPr>
        <w:t xml:space="preserve">
      3) формат информации о текущем финансовом состоянии и деятельности Фонда (Организации) и принятых рисках в виде определенных форм управленческой отчетности, которая идентифицирует и измеряет кредитный, процентный, валютный, страновой (трансфертный), репутационный риски, риск потери ликвидности и иные установленные риски, определяют степень подверженности рискам, сохранение их в пределах установленных лимитов; </w:t>
      </w:r>
      <w:r>
        <w:br/>
      </w:r>
      <w:r>
        <w:rPr>
          <w:rFonts w:ascii="Times New Roman"/>
          <w:b w:val="false"/>
          <w:i w:val="false"/>
          <w:color w:val="000000"/>
          <w:sz w:val="28"/>
        </w:rPr>
        <w:t>
      4) наличие в составе организационной структуры Фонда (Организации) отдельного подразделения по управлению рисками, не участвующего в осуществлении иных видов деятельности Фонда (Организации);</w:t>
      </w:r>
      <w:r>
        <w:br/>
      </w:r>
      <w:r>
        <w:rPr>
          <w:rFonts w:ascii="Times New Roman"/>
          <w:b w:val="false"/>
          <w:i w:val="false"/>
          <w:color w:val="000000"/>
          <w:sz w:val="28"/>
        </w:rPr>
        <w:t xml:space="preserve">
      5) процедуры по идентификации, оценке, мониторингу и контролю рисков, присущих лицензируемому виду деятельности, в том числе: </w:t>
      </w:r>
      <w:r>
        <w:br/>
      </w:r>
      <w:r>
        <w:rPr>
          <w:rFonts w:ascii="Times New Roman"/>
          <w:b w:val="false"/>
          <w:i w:val="false"/>
          <w:color w:val="000000"/>
          <w:sz w:val="28"/>
        </w:rPr>
        <w:t xml:space="preserve">
      методику оценки рисков с использованием международной практики оценки финансовых инструментов по предполагаемому риску (VAR-модель); </w:t>
      </w:r>
      <w:r>
        <w:br/>
      </w:r>
      <w:r>
        <w:rPr>
          <w:rFonts w:ascii="Times New Roman"/>
          <w:b w:val="false"/>
          <w:i w:val="false"/>
          <w:color w:val="000000"/>
          <w:sz w:val="28"/>
        </w:rPr>
        <w:t xml:space="preserve">
      порядок измерения рисков, включая риски, присущие операциям с производными финансовыми инструментами, описание используемых моделей измерения риска; </w:t>
      </w:r>
      <w:r>
        <w:br/>
      </w:r>
      <w:r>
        <w:rPr>
          <w:rFonts w:ascii="Times New Roman"/>
          <w:b w:val="false"/>
          <w:i w:val="false"/>
          <w:color w:val="000000"/>
          <w:sz w:val="28"/>
        </w:rPr>
        <w:t xml:space="preserve">
      процедуры определения стоимости финансового инструмента с учетом влияющих на нее рисков; </w:t>
      </w:r>
      <w:r>
        <w:br/>
      </w:r>
      <w:r>
        <w:rPr>
          <w:rFonts w:ascii="Times New Roman"/>
          <w:b w:val="false"/>
          <w:i w:val="false"/>
          <w:color w:val="000000"/>
          <w:sz w:val="28"/>
        </w:rPr>
        <w:t xml:space="preserve">
      6) порядок осуществления контроля за выполнением установленных в отношении пенсионных и (или) собственных активов лимитов инвестирования с указанием перечня должностей лиц, ответственных за осуществление контроля; </w:t>
      </w:r>
      <w:r>
        <w:br/>
      </w:r>
      <w:r>
        <w:rPr>
          <w:rFonts w:ascii="Times New Roman"/>
          <w:b w:val="false"/>
          <w:i w:val="false"/>
          <w:color w:val="000000"/>
          <w:sz w:val="28"/>
        </w:rPr>
        <w:t xml:space="preserve">
      7) порядок осуществления контроля за соблюдением максимальных допустимых размеров убытков с указанием перечня должностей лиц, ответственных за осуществление контроля; </w:t>
      </w:r>
      <w:r>
        <w:br/>
      </w:r>
      <w:r>
        <w:rPr>
          <w:rFonts w:ascii="Times New Roman"/>
          <w:b w:val="false"/>
          <w:i w:val="false"/>
          <w:color w:val="000000"/>
          <w:sz w:val="28"/>
        </w:rPr>
        <w:t xml:space="preserve">
      8) правила установления и контроля за выполнением лимитов "stop-loss", "take-profit" с указанием перечня должностей лиц, ответственных за осуществление контроля; </w:t>
      </w:r>
      <w:r>
        <w:br/>
      </w:r>
      <w:r>
        <w:rPr>
          <w:rFonts w:ascii="Times New Roman"/>
          <w:b w:val="false"/>
          <w:i w:val="false"/>
          <w:color w:val="000000"/>
          <w:sz w:val="28"/>
        </w:rPr>
        <w:t xml:space="preserve">
      9) процедуры структурирования инвестиционного портфеля в целях поддерживания стабильных показателей инвестиционной рентабельности в средне- и долгосрочной перспективе; </w:t>
      </w:r>
      <w:r>
        <w:br/>
      </w:r>
      <w:r>
        <w:rPr>
          <w:rFonts w:ascii="Times New Roman"/>
          <w:b w:val="false"/>
          <w:i w:val="false"/>
          <w:color w:val="000000"/>
          <w:sz w:val="28"/>
        </w:rPr>
        <w:t xml:space="preserve">
      10) порядок предупреждения чрезмерных расходов от купли (продажи) финансовых инструментов и осуществления контроля за соблюдением указанного порядка; </w:t>
      </w:r>
      <w:r>
        <w:br/>
      </w:r>
      <w:r>
        <w:rPr>
          <w:rFonts w:ascii="Times New Roman"/>
          <w:b w:val="false"/>
          <w:i w:val="false"/>
          <w:color w:val="000000"/>
          <w:sz w:val="28"/>
        </w:rPr>
        <w:t xml:space="preserve">
      11) порядок инициирования внесения изменений в инвестиционную декларацию и пересмотра лимитов инвестирования, максимального допустимого размера убытков, лимитов "stop-loss" и "take-profit" в случае нарастания рисков, связанных с инвестированием пенсионных и (или) собственных активов; </w:t>
      </w:r>
      <w:r>
        <w:br/>
      </w:r>
      <w:r>
        <w:rPr>
          <w:rFonts w:ascii="Times New Roman"/>
          <w:b w:val="false"/>
          <w:i w:val="false"/>
          <w:color w:val="000000"/>
          <w:sz w:val="28"/>
        </w:rPr>
        <w:t xml:space="preserve">
      12) два уровня контроля операций, осуществляемых в рамках лицензируемых видов деятельности, перечень которых определяется внутренними документами Фонда (Организации): работник, выполняющий операцию – первый уровень, непосредственный руководитель, контролирующий работника, выполняющего операцию – второй уровень; </w:t>
      </w:r>
      <w:r>
        <w:br/>
      </w:r>
      <w:r>
        <w:rPr>
          <w:rFonts w:ascii="Times New Roman"/>
          <w:b w:val="false"/>
          <w:i w:val="false"/>
          <w:color w:val="000000"/>
          <w:sz w:val="28"/>
        </w:rPr>
        <w:t xml:space="preserve">
      13) систему контроля за деятельностью подразделений, осуществляющих функции по заключению сделок за счет пенсионных и (или) собственных активов и учету пенсионных и (или) собственных активов, основанную на разделении функциональных обязанностей по заключению сделок и отражению совершенных операций в учете. Система контроля предусматривает: </w:t>
      </w:r>
      <w:r>
        <w:br/>
      </w:r>
      <w:r>
        <w:rPr>
          <w:rFonts w:ascii="Times New Roman"/>
          <w:b w:val="false"/>
          <w:i w:val="false"/>
          <w:color w:val="000000"/>
          <w:sz w:val="28"/>
        </w:rPr>
        <w:t xml:space="preserve">
      установление функции подразделения, осуществляющего управление рисками, по контролю за соответствием параметров планируемых к заключению сделок лимитам инвестирования; </w:t>
      </w:r>
      <w:r>
        <w:br/>
      </w:r>
      <w:r>
        <w:rPr>
          <w:rFonts w:ascii="Times New Roman"/>
          <w:b w:val="false"/>
          <w:i w:val="false"/>
          <w:color w:val="000000"/>
          <w:sz w:val="28"/>
        </w:rPr>
        <w:t xml:space="preserve">
      установление функции подразделения, осуществляющего функции правового обеспечения, по правовой экспертизе проектов договоров по заключаемым сделкам; </w:t>
      </w:r>
      <w:r>
        <w:br/>
      </w:r>
      <w:r>
        <w:rPr>
          <w:rFonts w:ascii="Times New Roman"/>
          <w:b w:val="false"/>
          <w:i w:val="false"/>
          <w:color w:val="000000"/>
          <w:sz w:val="28"/>
        </w:rPr>
        <w:t xml:space="preserve">
      установление функции подразделения, осуществляющего учет финансовых инструментов, приобретенных за счет пенсионных и (или) собственных активов, по контролю за соответствием параметров исполненных сделок условиям инвестиционного решения; </w:t>
      </w:r>
      <w:r>
        <w:br/>
      </w:r>
      <w:r>
        <w:rPr>
          <w:rFonts w:ascii="Times New Roman"/>
          <w:b w:val="false"/>
          <w:i w:val="false"/>
          <w:color w:val="000000"/>
          <w:sz w:val="28"/>
        </w:rPr>
        <w:t xml:space="preserve">
      установление функции подразделения, осуществляющего заключение сделок за счет пенсионных и (или) собственных активов, по заключению сделок исключительно в соответствии с параметрами, указанными в инвестиционном решении; </w:t>
      </w:r>
      <w:r>
        <w:br/>
      </w:r>
      <w:r>
        <w:rPr>
          <w:rFonts w:ascii="Times New Roman"/>
          <w:b w:val="false"/>
          <w:i w:val="false"/>
          <w:color w:val="000000"/>
          <w:sz w:val="28"/>
        </w:rPr>
        <w:t xml:space="preserve">
      установление функции службы внутреннего аудита по контролю за выполнением подразделениями Фонда (Организациями) возложенных на них функций и обязанностей в рамках системы контроля; </w:t>
      </w:r>
      <w:r>
        <w:br/>
      </w:r>
      <w:r>
        <w:rPr>
          <w:rFonts w:ascii="Times New Roman"/>
          <w:b w:val="false"/>
          <w:i w:val="false"/>
          <w:color w:val="000000"/>
          <w:sz w:val="28"/>
        </w:rPr>
        <w:t xml:space="preserve">
      наличие мер, ограничивающих возможность сговора между участниками системы контроля; </w:t>
      </w:r>
      <w:r>
        <w:br/>
      </w:r>
      <w:r>
        <w:rPr>
          <w:rFonts w:ascii="Times New Roman"/>
          <w:b w:val="false"/>
          <w:i w:val="false"/>
          <w:color w:val="000000"/>
          <w:sz w:val="28"/>
        </w:rPr>
        <w:t>
      14) процедуры постоянного мониторинга и определения эффективности принятых инвестиционных решений, включая анализ транзакционных расходов, связанных с исполнением инвестиционных решений;</w:t>
      </w:r>
      <w:r>
        <w:br/>
      </w:r>
      <w:r>
        <w:rPr>
          <w:rFonts w:ascii="Times New Roman"/>
          <w:b w:val="false"/>
          <w:i w:val="false"/>
          <w:color w:val="000000"/>
          <w:sz w:val="28"/>
        </w:rPr>
        <w:t xml:space="preserve">
      15) порядок осуществления операционной (текущей) деятельности Фонда (Организации) и бухгалтерского учета, определяющий: </w:t>
      </w:r>
      <w:r>
        <w:br/>
      </w:r>
      <w:r>
        <w:rPr>
          <w:rFonts w:ascii="Times New Roman"/>
          <w:b w:val="false"/>
          <w:i w:val="false"/>
          <w:color w:val="000000"/>
          <w:sz w:val="28"/>
        </w:rPr>
        <w:t xml:space="preserve">
      подразделения, обеспечивающие осуществление операционной (текущей) деятельности Фонда (Организации), их функции, обязанности и полномочия; </w:t>
      </w:r>
      <w:r>
        <w:br/>
      </w:r>
      <w:r>
        <w:rPr>
          <w:rFonts w:ascii="Times New Roman"/>
          <w:b w:val="false"/>
          <w:i w:val="false"/>
          <w:color w:val="000000"/>
          <w:sz w:val="28"/>
        </w:rPr>
        <w:t xml:space="preserve">
      технический порядок проведения операций; </w:t>
      </w:r>
      <w:r>
        <w:br/>
      </w:r>
      <w:r>
        <w:rPr>
          <w:rFonts w:ascii="Times New Roman"/>
          <w:b w:val="false"/>
          <w:i w:val="false"/>
          <w:color w:val="000000"/>
          <w:sz w:val="28"/>
        </w:rPr>
        <w:t xml:space="preserve">
      систему бухгалтерского учета операций Фонда (Организации); </w:t>
      </w:r>
      <w:r>
        <w:br/>
      </w:r>
      <w:r>
        <w:rPr>
          <w:rFonts w:ascii="Times New Roman"/>
          <w:b w:val="false"/>
          <w:i w:val="false"/>
          <w:color w:val="000000"/>
          <w:sz w:val="28"/>
        </w:rPr>
        <w:t xml:space="preserve">
      систему документооборота и делопроизводства Фонда (Организации); </w:t>
      </w:r>
      <w:r>
        <w:br/>
      </w:r>
      <w:r>
        <w:rPr>
          <w:rFonts w:ascii="Times New Roman"/>
          <w:b w:val="false"/>
          <w:i w:val="false"/>
          <w:color w:val="000000"/>
          <w:sz w:val="28"/>
        </w:rPr>
        <w:t xml:space="preserve">
      процедуры по предотвращению рисков нарушения порядка осуществления операционной (текущей) деятельности Фонда (Организации): </w:t>
      </w:r>
      <w:r>
        <w:br/>
      </w:r>
      <w:r>
        <w:rPr>
          <w:rFonts w:ascii="Times New Roman"/>
          <w:b w:val="false"/>
          <w:i w:val="false"/>
          <w:color w:val="000000"/>
          <w:sz w:val="28"/>
        </w:rPr>
        <w:t xml:space="preserve">
      ограничивающие возможность неправильного проведения и недостоверного отражения в учете совершенных операций с финансовыми инструментами; </w:t>
      </w:r>
      <w:r>
        <w:br/>
      </w:r>
      <w:r>
        <w:rPr>
          <w:rFonts w:ascii="Times New Roman"/>
          <w:b w:val="false"/>
          <w:i w:val="false"/>
          <w:color w:val="000000"/>
          <w:sz w:val="28"/>
        </w:rPr>
        <w:t xml:space="preserve">
      обеспечивающие безопасность проведения операций, а именно выявление и предотвращение случаев злоупотребления при осуществлении операций с доходами и принятии риска, неадекватного размеру собственного капитала и доходов; </w:t>
      </w:r>
      <w:r>
        <w:br/>
      </w:r>
      <w:r>
        <w:rPr>
          <w:rFonts w:ascii="Times New Roman"/>
          <w:b w:val="false"/>
          <w:i w:val="false"/>
          <w:color w:val="000000"/>
          <w:sz w:val="28"/>
        </w:rPr>
        <w:t xml:space="preserve">
      обеспечивающие бесперебойное функционирование системы электронной обработки и наличие у лиц, осуществляющих контроль системы электронной обработки данных и отвечающих за вопросы обработки данных, квалификации и опыта, соответствующих профилю работы; </w:t>
      </w:r>
      <w:r>
        <w:br/>
      </w:r>
      <w:r>
        <w:rPr>
          <w:rFonts w:ascii="Times New Roman"/>
          <w:b w:val="false"/>
          <w:i w:val="false"/>
          <w:color w:val="000000"/>
          <w:sz w:val="28"/>
        </w:rPr>
        <w:t xml:space="preserve">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 в том числе электронных ключей к информационным базам данных; </w:t>
      </w:r>
      <w:r>
        <w:br/>
      </w:r>
      <w:r>
        <w:rPr>
          <w:rFonts w:ascii="Times New Roman"/>
          <w:b w:val="false"/>
          <w:i w:val="false"/>
          <w:color w:val="000000"/>
          <w:sz w:val="28"/>
        </w:rPr>
        <w:t xml:space="preserve">
      направленные на выполнение плановых мероприятий, в том числе при форс-мажорных обстоятельствах по обеспечению сохранности информационных систем баз данных, предусматривающих: </w:t>
      </w:r>
      <w:r>
        <w:br/>
      </w:r>
      <w:r>
        <w:rPr>
          <w:rFonts w:ascii="Times New Roman"/>
          <w:b w:val="false"/>
          <w:i w:val="false"/>
          <w:color w:val="000000"/>
          <w:sz w:val="28"/>
        </w:rPr>
        <w:t xml:space="preserve">
      наличие обособленных помещений для технических комплексов информационных баз данных, отвечающих требованиям пожарной безопасности и сейсмоустойчивости, автономного электропитания, резервных компьютеров и сетевых коммуникаций, регулярного формирования резервных копий системно-важных программных файлов и файлов данных; </w:t>
      </w:r>
      <w:r>
        <w:br/>
      </w:r>
      <w:r>
        <w:rPr>
          <w:rFonts w:ascii="Times New Roman"/>
          <w:b w:val="false"/>
          <w:i w:val="false"/>
          <w:color w:val="000000"/>
          <w:sz w:val="28"/>
        </w:rPr>
        <w:t xml:space="preserve">
      делегирование полномочий и ответственность в случае возникновения форс-мажорных обстоятельств; </w:t>
      </w:r>
      <w:r>
        <w:br/>
      </w:r>
      <w:r>
        <w:rPr>
          <w:rFonts w:ascii="Times New Roman"/>
          <w:b w:val="false"/>
          <w:i w:val="false"/>
          <w:color w:val="000000"/>
          <w:sz w:val="28"/>
        </w:rPr>
        <w:t xml:space="preserve">
      определение действий при наступлении форс-мажорных обстоятельств, предусматривающих правила и руководства для компьютерного центра в случае чрезвычайного сбоя в работе системы; </w:t>
      </w:r>
      <w:r>
        <w:br/>
      </w:r>
      <w:r>
        <w:rPr>
          <w:rFonts w:ascii="Times New Roman"/>
          <w:b w:val="false"/>
          <w:i w:val="false"/>
          <w:color w:val="000000"/>
          <w:sz w:val="28"/>
        </w:rPr>
        <w:t xml:space="preserve">
      предотвращение сбоев с помощью регулярных инспекций оборудования и проверки отчетов о работе подразделением информационного обеспечения; </w:t>
      </w:r>
      <w:r>
        <w:br/>
      </w:r>
      <w:r>
        <w:rPr>
          <w:rFonts w:ascii="Times New Roman"/>
          <w:b w:val="false"/>
          <w:i w:val="false"/>
          <w:color w:val="000000"/>
          <w:sz w:val="28"/>
        </w:rPr>
        <w:t xml:space="preserve">
      установление порядка планирования, разработки и функционирования систем электронной обработки данных. </w:t>
      </w:r>
      <w:r>
        <w:br/>
      </w:r>
      <w:r>
        <w:rPr>
          <w:rFonts w:ascii="Times New Roman"/>
          <w:b w:val="false"/>
          <w:i w:val="false"/>
          <w:color w:val="000000"/>
          <w:sz w:val="28"/>
        </w:rPr>
        <w:t>
      </w:t>
      </w:r>
      <w:r>
        <w:rPr>
          <w:rFonts w:ascii="Times New Roman"/>
          <w:b w:val="false"/>
          <w:i w:val="false"/>
          <w:color w:val="ff0000"/>
          <w:sz w:val="28"/>
        </w:rPr>
        <w:t>Сноска. Пункт 19</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20. Процедуры осуществления анализа и мониторинга контрпартнеров Фонда (Организации) определяют комплекс мер, направленных на проведение Фондом (Организацией) комплексной проверки контрпартнеров до установления деловых отношений (до заключения договора) и в процессе дальнейшего взаимодействия с ними для получения существенной информации о каждом контрпартнере в целях идентификации потенциальных угроз. </w:t>
      </w:r>
      <w:r>
        <w:br/>
      </w:r>
      <w:r>
        <w:rPr>
          <w:rFonts w:ascii="Times New Roman"/>
          <w:b w:val="false"/>
          <w:i w:val="false"/>
          <w:color w:val="000000"/>
          <w:sz w:val="28"/>
        </w:rPr>
        <w:t xml:space="preserve">
      Комплексная проверка Фондом (Организацией) своих контрпартнеров включает осуществление следующих мер: </w:t>
      </w:r>
      <w:r>
        <w:br/>
      </w:r>
      <w:r>
        <w:rPr>
          <w:rFonts w:ascii="Times New Roman"/>
          <w:b w:val="false"/>
          <w:i w:val="false"/>
          <w:color w:val="000000"/>
          <w:sz w:val="28"/>
        </w:rPr>
        <w:t>
      1) установление предполагаемой цели и характера деловых отношений;</w:t>
      </w:r>
      <w:r>
        <w:br/>
      </w:r>
      <w:r>
        <w:rPr>
          <w:rFonts w:ascii="Times New Roman"/>
          <w:b w:val="false"/>
          <w:i w:val="false"/>
          <w:color w:val="000000"/>
          <w:sz w:val="28"/>
        </w:rPr>
        <w:t xml:space="preserve">
      2) фиксирование сведений, необходимых для идентификации лица, являющегося потенциальным или фактическим контрпартнером; </w:t>
      </w:r>
      <w:r>
        <w:br/>
      </w:r>
      <w:r>
        <w:rPr>
          <w:rFonts w:ascii="Times New Roman"/>
          <w:b w:val="false"/>
          <w:i w:val="false"/>
          <w:color w:val="000000"/>
          <w:sz w:val="28"/>
        </w:rPr>
        <w:t xml:space="preserve">
      3) проведение на постоянной основе мониторинга финансового состояния контрпартнера и определение его способности отвечать по обязательствам перед Фондом (Организацией). </w:t>
      </w:r>
      <w:r>
        <w:br/>
      </w:r>
      <w:r>
        <w:rPr>
          <w:rFonts w:ascii="Times New Roman"/>
          <w:b w:val="false"/>
          <w:i w:val="false"/>
          <w:color w:val="000000"/>
          <w:sz w:val="28"/>
        </w:rPr>
        <w:t>
</w:t>
      </w:r>
      <w:r>
        <w:rPr>
          <w:rFonts w:ascii="Times New Roman"/>
          <w:b w:val="false"/>
          <w:i w:val="false"/>
          <w:color w:val="000000"/>
          <w:sz w:val="28"/>
        </w:rPr>
        <w:t xml:space="preserve">
      21. Правила обеспечения информационной безопасности включают процедуры по обеспечению сохранности сведений, составляющих коммерческую, служебную тайну на рынке ценных бумаг, тайну пенсионных накоплений, и недопущению их использования в собственных интересах Фонда (Организации), их работников или третьих лиц. </w:t>
      </w:r>
      <w:r>
        <w:br/>
      </w:r>
      <w:r>
        <w:rPr>
          <w:rFonts w:ascii="Times New Roman"/>
          <w:b w:val="false"/>
          <w:i w:val="false"/>
          <w:color w:val="000000"/>
          <w:sz w:val="28"/>
        </w:rPr>
        <w:t xml:space="preserve">
      Правила обеспечения информационной безопасности определяют: </w:t>
      </w:r>
      <w:r>
        <w:br/>
      </w:r>
      <w:r>
        <w:rPr>
          <w:rFonts w:ascii="Times New Roman"/>
          <w:b w:val="false"/>
          <w:i w:val="false"/>
          <w:color w:val="000000"/>
          <w:sz w:val="28"/>
        </w:rPr>
        <w:t>
      1) перечень информации, охраняемой Законами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пенсионном обеспечении</w:t>
      </w:r>
      <w:r>
        <w:rPr>
          <w:rFonts w:ascii="Times New Roman"/>
          <w:b w:val="false"/>
          <w:i w:val="false"/>
          <w:color w:val="000000"/>
          <w:sz w:val="28"/>
        </w:rPr>
        <w:t>,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относящейся к служебной и коммерческой тайне, а также тайне пенсионных накоплений; </w:t>
      </w:r>
      <w:r>
        <w:br/>
      </w:r>
      <w:r>
        <w:rPr>
          <w:rFonts w:ascii="Times New Roman"/>
          <w:b w:val="false"/>
          <w:i w:val="false"/>
          <w:color w:val="000000"/>
          <w:sz w:val="28"/>
        </w:rPr>
        <w:t xml:space="preserve">
      2) порядок составления, оформления, регистрации, учета и хранения документов, содержащих информацию, указанную в подпункте 1) настоящего пункта Инструкции; </w:t>
      </w:r>
      <w:r>
        <w:br/>
      </w:r>
      <w:r>
        <w:rPr>
          <w:rFonts w:ascii="Times New Roman"/>
          <w:b w:val="false"/>
          <w:i w:val="false"/>
          <w:color w:val="000000"/>
          <w:sz w:val="28"/>
        </w:rPr>
        <w:t xml:space="preserve">
      3) порядок допуска к информации, указанной в подпункте 1) настоящего пункта Инструкции, с указанием должностей лиц, которые допускаются к данной информации; </w:t>
      </w:r>
      <w:r>
        <w:br/>
      </w:r>
      <w:r>
        <w:rPr>
          <w:rFonts w:ascii="Times New Roman"/>
          <w:b w:val="false"/>
          <w:i w:val="false"/>
          <w:color w:val="000000"/>
          <w:sz w:val="28"/>
        </w:rPr>
        <w:t xml:space="preserve">
      4) механизмы предотвращения утечки информации, указанной в подпункте 1) настоящего пункта Инструкции, и искажения информационных данных, предусматривающие: </w:t>
      </w:r>
      <w:r>
        <w:br/>
      </w:r>
      <w:r>
        <w:rPr>
          <w:rFonts w:ascii="Times New Roman"/>
          <w:b w:val="false"/>
          <w:i w:val="false"/>
          <w:color w:val="000000"/>
          <w:sz w:val="28"/>
        </w:rPr>
        <w:t xml:space="preserve">
      перечень информационных данных, имеющих ограниченный доступ; </w:t>
      </w:r>
      <w:r>
        <w:br/>
      </w:r>
      <w:r>
        <w:rPr>
          <w:rFonts w:ascii="Times New Roman"/>
          <w:b w:val="false"/>
          <w:i w:val="false"/>
          <w:color w:val="000000"/>
          <w:sz w:val="28"/>
        </w:rPr>
        <w:t xml:space="preserve">
      порядок получения доступа; </w:t>
      </w:r>
      <w:r>
        <w:br/>
      </w:r>
      <w:r>
        <w:rPr>
          <w:rFonts w:ascii="Times New Roman"/>
          <w:b w:val="false"/>
          <w:i w:val="false"/>
          <w:color w:val="000000"/>
          <w:sz w:val="28"/>
        </w:rPr>
        <w:t xml:space="preserve">
      порядок контроля доступа к информационным данным, перечня должностей лиц, имеющих доступ к информационным данным; </w:t>
      </w:r>
      <w:r>
        <w:br/>
      </w:r>
      <w:r>
        <w:rPr>
          <w:rFonts w:ascii="Times New Roman"/>
          <w:b w:val="false"/>
          <w:i w:val="false"/>
          <w:color w:val="000000"/>
          <w:sz w:val="28"/>
        </w:rPr>
        <w:t xml:space="preserve">
      5)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 позволяющей идентифицировать личность пользователя. </w:t>
      </w:r>
      <w:r>
        <w:br/>
      </w:r>
      <w:r>
        <w:rPr>
          <w:rFonts w:ascii="Times New Roman"/>
          <w:b w:val="false"/>
          <w:i w:val="false"/>
          <w:color w:val="000000"/>
          <w:sz w:val="28"/>
        </w:rPr>
        <w:t>
</w:t>
      </w:r>
      <w:r>
        <w:rPr>
          <w:rFonts w:ascii="Times New Roman"/>
          <w:b w:val="false"/>
          <w:i w:val="false"/>
          <w:color w:val="000000"/>
          <w:sz w:val="28"/>
        </w:rPr>
        <w:t xml:space="preserve">
      22. Правила расчета и взимания комиссионного вознаграждения за оказание Фондом (Организацией) финансовых услуг определяют: </w:t>
      </w:r>
      <w:r>
        <w:br/>
      </w:r>
      <w:r>
        <w:rPr>
          <w:rFonts w:ascii="Times New Roman"/>
          <w:b w:val="false"/>
          <w:i w:val="false"/>
          <w:color w:val="000000"/>
          <w:sz w:val="28"/>
        </w:rPr>
        <w:t xml:space="preserve">
      1) предельную величину комиссионного вознаграждения Фонда (Организации); </w:t>
      </w:r>
      <w:r>
        <w:br/>
      </w:r>
      <w:r>
        <w:rPr>
          <w:rFonts w:ascii="Times New Roman"/>
          <w:b w:val="false"/>
          <w:i w:val="false"/>
          <w:color w:val="000000"/>
          <w:sz w:val="28"/>
        </w:rPr>
        <w:t>
      2) порядок и частоту изменения величины комиссионного вознаграждения;</w:t>
      </w:r>
      <w:r>
        <w:br/>
      </w:r>
      <w:r>
        <w:rPr>
          <w:rFonts w:ascii="Times New Roman"/>
          <w:b w:val="false"/>
          <w:i w:val="false"/>
          <w:color w:val="000000"/>
          <w:sz w:val="28"/>
        </w:rPr>
        <w:t xml:space="preserve">
      3) сведения о периодических печатных изданиях, в которых публикуется информация для вкладчиков (получателей) об изменении величины комиссионного вознаграждения; </w:t>
      </w:r>
      <w:r>
        <w:br/>
      </w:r>
      <w:r>
        <w:rPr>
          <w:rFonts w:ascii="Times New Roman"/>
          <w:b w:val="false"/>
          <w:i w:val="false"/>
          <w:color w:val="000000"/>
          <w:sz w:val="28"/>
        </w:rPr>
        <w:t xml:space="preserve">
      4) порядок взимания комиссионного вознаграждения; </w:t>
      </w:r>
      <w:r>
        <w:br/>
      </w:r>
      <w:r>
        <w:rPr>
          <w:rFonts w:ascii="Times New Roman"/>
          <w:b w:val="false"/>
          <w:i w:val="false"/>
          <w:color w:val="000000"/>
          <w:sz w:val="28"/>
        </w:rPr>
        <w:t xml:space="preserve">
      5) условия введения ограничений на размеры комиссионных вознаграждений, получаемых Фондом (Организацией). </w:t>
      </w:r>
      <w:r>
        <w:br/>
      </w:r>
      <w:r>
        <w:rPr>
          <w:rFonts w:ascii="Times New Roman"/>
          <w:b w:val="false"/>
          <w:i w:val="false"/>
          <w:color w:val="000000"/>
          <w:sz w:val="28"/>
        </w:rPr>
        <w:t>
</w:t>
      </w:r>
      <w:r>
        <w:rPr>
          <w:rFonts w:ascii="Times New Roman"/>
          <w:b w:val="false"/>
          <w:i w:val="false"/>
          <w:color w:val="000000"/>
          <w:sz w:val="28"/>
        </w:rPr>
        <w:t xml:space="preserve">
      23. Процедуры осуществления внутреннего аудита и внутреннего контроля определяют: </w:t>
      </w:r>
      <w:r>
        <w:br/>
      </w:r>
      <w:r>
        <w:rPr>
          <w:rFonts w:ascii="Times New Roman"/>
          <w:b w:val="false"/>
          <w:i w:val="false"/>
          <w:color w:val="000000"/>
          <w:sz w:val="28"/>
        </w:rPr>
        <w:t xml:space="preserve">
      1) состав службы внутреннего аудита, ее функции, обязанности и полномочия; </w:t>
      </w:r>
      <w:r>
        <w:br/>
      </w:r>
      <w:r>
        <w:rPr>
          <w:rFonts w:ascii="Times New Roman"/>
          <w:b w:val="false"/>
          <w:i w:val="false"/>
          <w:color w:val="000000"/>
          <w:sz w:val="28"/>
        </w:rPr>
        <w:t xml:space="preserve">
      2) требования к работникам, осуществляющим внутренний аудит и внутренний контроль; </w:t>
      </w:r>
      <w:r>
        <w:br/>
      </w:r>
      <w:r>
        <w:rPr>
          <w:rFonts w:ascii="Times New Roman"/>
          <w:b w:val="false"/>
          <w:i w:val="false"/>
          <w:color w:val="000000"/>
          <w:sz w:val="28"/>
        </w:rPr>
        <w:t xml:space="preserve">
      3) предмет и объект внутреннего аудита и внутреннего контроля; </w:t>
      </w:r>
      <w:r>
        <w:br/>
      </w:r>
      <w:r>
        <w:rPr>
          <w:rFonts w:ascii="Times New Roman"/>
          <w:b w:val="false"/>
          <w:i w:val="false"/>
          <w:color w:val="000000"/>
          <w:sz w:val="28"/>
        </w:rPr>
        <w:t xml:space="preserve">
      4) масштаб и частоту проведения проверок службой внутреннего аудита; </w:t>
      </w:r>
      <w:r>
        <w:br/>
      </w:r>
      <w:r>
        <w:rPr>
          <w:rFonts w:ascii="Times New Roman"/>
          <w:b w:val="false"/>
          <w:i w:val="false"/>
          <w:color w:val="000000"/>
          <w:sz w:val="28"/>
        </w:rPr>
        <w:t xml:space="preserve">
      5) обязательную к использованию при проведении внутреннего аудита систему оценки; </w:t>
      </w:r>
      <w:r>
        <w:br/>
      </w:r>
      <w:r>
        <w:rPr>
          <w:rFonts w:ascii="Times New Roman"/>
          <w:b w:val="false"/>
          <w:i w:val="false"/>
          <w:color w:val="000000"/>
          <w:sz w:val="28"/>
        </w:rPr>
        <w:t>
      6) требования к составлению плана проведения внутреннего аудита;</w:t>
      </w:r>
      <w:r>
        <w:br/>
      </w:r>
      <w:r>
        <w:rPr>
          <w:rFonts w:ascii="Times New Roman"/>
          <w:b w:val="false"/>
          <w:i w:val="false"/>
          <w:color w:val="000000"/>
          <w:sz w:val="28"/>
        </w:rPr>
        <w:t xml:space="preserve">
      7) сроки и форму представления службой внутреннего аудита отчетов о результатах проверок совету директоров и правлению Фонда (Организации). </w:t>
      </w:r>
      <w:r>
        <w:br/>
      </w:r>
      <w:r>
        <w:rPr>
          <w:rFonts w:ascii="Times New Roman"/>
          <w:b w:val="false"/>
          <w:i w:val="false"/>
          <w:color w:val="000000"/>
          <w:sz w:val="28"/>
        </w:rPr>
        <w:t>
</w:t>
      </w:r>
      <w:r>
        <w:rPr>
          <w:rFonts w:ascii="Times New Roman"/>
          <w:b w:val="false"/>
          <w:i w:val="false"/>
          <w:color w:val="000000"/>
          <w:sz w:val="28"/>
        </w:rPr>
        <w:t>
      23-1. Политика управления существующим и потенциальным конфликтом интересов, включает:</w:t>
      </w:r>
      <w:r>
        <w:br/>
      </w:r>
      <w:r>
        <w:rPr>
          <w:rFonts w:ascii="Times New Roman"/>
          <w:b w:val="false"/>
          <w:i w:val="false"/>
          <w:color w:val="000000"/>
          <w:sz w:val="28"/>
        </w:rPr>
        <w:t>
      1) определение ситуаций, при которых интересы должностного лица или работника Фонда (Организации)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вкладчиков (получателей) Фонда и (или) акционеров Фонда (Организации);</w:t>
      </w:r>
      <w:r>
        <w:br/>
      </w:r>
      <w:r>
        <w:rPr>
          <w:rFonts w:ascii="Times New Roman"/>
          <w:b w:val="false"/>
          <w:i w:val="false"/>
          <w:color w:val="000000"/>
          <w:sz w:val="28"/>
        </w:rPr>
        <w:t>
      2) принципы деятельности должностных лиц и работников Фонда (Организации) при возникновении ситуаций, указанных в подпункте 1) настоящего пункта Инструкции;</w:t>
      </w:r>
      <w:r>
        <w:br/>
      </w:r>
      <w:r>
        <w:rPr>
          <w:rFonts w:ascii="Times New Roman"/>
          <w:b w:val="false"/>
          <w:i w:val="false"/>
          <w:color w:val="000000"/>
          <w:sz w:val="28"/>
        </w:rPr>
        <w:t>
      3) порядок осуществления сбора, хранения и мониторинга сведений в целях выявления и описания ситуаций, указанных в подпункте 1) настоящего пункта Инструкции, в процессе деятельности органов, подразделений, должностных лиц и работников Фонда (Организации);</w:t>
      </w:r>
      <w:r>
        <w:br/>
      </w:r>
      <w:r>
        <w:rPr>
          <w:rFonts w:ascii="Times New Roman"/>
          <w:b w:val="false"/>
          <w:i w:val="false"/>
          <w:color w:val="000000"/>
          <w:sz w:val="28"/>
        </w:rPr>
        <w:t>
      4) процедуры принятия решений органами Фонда (Организации), направленные на обеспечение независимости и объективности принимаемых решений, включая ограничение права участия в принятии решений должностных лиц и работников Фонда (Организации), при возникновении ситуаций, указанных в подпункте 1) настоящего пункта Инструкции.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23-1 в соответствии с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24. Правила ведения журналов системы внутреннего учета содержат:</w:t>
      </w:r>
      <w:r>
        <w:br/>
      </w:r>
      <w:r>
        <w:rPr>
          <w:rFonts w:ascii="Times New Roman"/>
          <w:b w:val="false"/>
          <w:i w:val="false"/>
          <w:color w:val="000000"/>
          <w:sz w:val="28"/>
        </w:rPr>
        <w:t xml:space="preserve">
      1) количество и наименование журналов; </w:t>
      </w:r>
      <w:r>
        <w:br/>
      </w:r>
      <w:r>
        <w:rPr>
          <w:rFonts w:ascii="Times New Roman"/>
          <w:b w:val="false"/>
          <w:i w:val="false"/>
          <w:color w:val="000000"/>
          <w:sz w:val="28"/>
        </w:rPr>
        <w:t xml:space="preserve">
      2) порядок и периодичность заполнения журналов; </w:t>
      </w:r>
      <w:r>
        <w:br/>
      </w:r>
      <w:r>
        <w:rPr>
          <w:rFonts w:ascii="Times New Roman"/>
          <w:b w:val="false"/>
          <w:i w:val="false"/>
          <w:color w:val="000000"/>
          <w:sz w:val="28"/>
        </w:rPr>
        <w:t xml:space="preserve">
      3) перечень должностей руководящих работников, осуществляющих контроль за своевременным и точным заполнением журналов. </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25. Инструкция по технике безопасности включает: </w:t>
      </w:r>
      <w:r>
        <w:br/>
      </w:r>
      <w:r>
        <w:rPr>
          <w:rFonts w:ascii="Times New Roman"/>
          <w:b w:val="false"/>
          <w:i w:val="false"/>
          <w:color w:val="000000"/>
          <w:sz w:val="28"/>
        </w:rPr>
        <w:t xml:space="preserve">
      1) основные требования по пожарной безопасности; </w:t>
      </w:r>
      <w:r>
        <w:br/>
      </w:r>
      <w:r>
        <w:rPr>
          <w:rFonts w:ascii="Times New Roman"/>
          <w:b w:val="false"/>
          <w:i w:val="false"/>
          <w:color w:val="000000"/>
          <w:sz w:val="28"/>
        </w:rPr>
        <w:t xml:space="preserve">
      2) описание действий работников Фонда (Организации) в случае наступления форс-мажорных обстоятельств; </w:t>
      </w:r>
      <w:r>
        <w:br/>
      </w:r>
      <w:r>
        <w:rPr>
          <w:rFonts w:ascii="Times New Roman"/>
          <w:b w:val="false"/>
          <w:i w:val="false"/>
          <w:color w:val="000000"/>
          <w:sz w:val="28"/>
        </w:rPr>
        <w:t xml:space="preserve">
      3) порядок использования программно-технических комплексов и иного оборудования работниками Фонда (Организации); </w:t>
      </w:r>
      <w:r>
        <w:br/>
      </w:r>
      <w:r>
        <w:rPr>
          <w:rFonts w:ascii="Times New Roman"/>
          <w:b w:val="false"/>
          <w:i w:val="false"/>
          <w:color w:val="000000"/>
          <w:sz w:val="28"/>
        </w:rPr>
        <w:t xml:space="preserve">
      4) последовательность осмотра помещений Фонда (Организации) перед их закрытием. </w:t>
      </w:r>
    </w:p>
    <w:bookmarkEnd w:id="8"/>
    <w:bookmarkStart w:name="z68" w:id="9"/>
    <w:p>
      <w:pPr>
        <w:spacing w:after="0"/>
        <w:ind w:left="0"/>
        <w:jc w:val="left"/>
      </w:pPr>
      <w:r>
        <w:rPr>
          <w:rFonts w:ascii="Times New Roman"/>
          <w:b/>
          <w:i w:val="false"/>
          <w:color w:val="000000"/>
        </w:rPr>
        <w:t xml:space="preserve"> 
Глава 4. Требования к инвестиционной декларации и политике </w:t>
      </w:r>
      <w:r>
        <w:br/>
      </w:r>
      <w:r>
        <w:rPr>
          <w:rFonts w:ascii="Times New Roman"/>
          <w:b/>
          <w:i w:val="false"/>
          <w:color w:val="000000"/>
        </w:rPr>
        <w:t xml:space="preserve">
инвестирования собственных активов Фонда (Организации) </w:t>
      </w:r>
    </w:p>
    <w:bookmarkEnd w:id="9"/>
    <w:bookmarkStart w:name="z69" w:id="10"/>
    <w:p>
      <w:pPr>
        <w:spacing w:after="0"/>
        <w:ind w:left="0"/>
        <w:jc w:val="both"/>
      </w:pPr>
      <w:r>
        <w:rPr>
          <w:rFonts w:ascii="Times New Roman"/>
          <w:b w:val="false"/>
          <w:i w:val="false"/>
          <w:color w:val="000000"/>
          <w:sz w:val="28"/>
        </w:rPr>
        <w:t xml:space="preserve">
      26. В целях обеспечения инвестиционного управления пенсионными активами разрабатывается инвестиционная декларация, включающая, но не ограничивающаяся следующим: </w:t>
      </w:r>
      <w:r>
        <w:br/>
      </w:r>
      <w:r>
        <w:rPr>
          <w:rFonts w:ascii="Times New Roman"/>
          <w:b w:val="false"/>
          <w:i w:val="false"/>
          <w:color w:val="000000"/>
          <w:sz w:val="28"/>
        </w:rPr>
        <w:t xml:space="preserve">
      1) цели и стратегии инвестирования пенсионных активов; </w:t>
      </w:r>
      <w:r>
        <w:br/>
      </w:r>
      <w:r>
        <w:rPr>
          <w:rFonts w:ascii="Times New Roman"/>
          <w:b w:val="false"/>
          <w:i w:val="false"/>
          <w:color w:val="000000"/>
          <w:sz w:val="28"/>
        </w:rPr>
        <w:t xml:space="preserve">
      2) описание и перечень объектов инвестирования; </w:t>
      </w:r>
      <w:r>
        <w:br/>
      </w:r>
      <w:r>
        <w:rPr>
          <w:rFonts w:ascii="Times New Roman"/>
          <w:b w:val="false"/>
          <w:i w:val="false"/>
          <w:color w:val="000000"/>
          <w:sz w:val="28"/>
        </w:rPr>
        <w:t xml:space="preserve">
      3) лимиты инвестирования пенсионных активов по видам финансовых инструментов и доле валютной нетто-позиции; </w:t>
      </w:r>
      <w:r>
        <w:br/>
      </w:r>
      <w:r>
        <w:rPr>
          <w:rFonts w:ascii="Times New Roman"/>
          <w:b w:val="false"/>
          <w:i w:val="false"/>
          <w:color w:val="000000"/>
          <w:sz w:val="28"/>
        </w:rPr>
        <w:t xml:space="preserve">
      4) условия и ограничения, установленные в отношении инвестиционной деятельности; </w:t>
      </w:r>
      <w:r>
        <w:br/>
      </w:r>
      <w:r>
        <w:rPr>
          <w:rFonts w:ascii="Times New Roman"/>
          <w:b w:val="false"/>
          <w:i w:val="false"/>
          <w:color w:val="000000"/>
          <w:sz w:val="28"/>
        </w:rPr>
        <w:t xml:space="preserve">
      5) условия хеджирования и диверсификации пенсионных активов с указанием перечня и описания инструментов хеджирования; </w:t>
      </w:r>
      <w:r>
        <w:br/>
      </w:r>
      <w:r>
        <w:rPr>
          <w:rFonts w:ascii="Times New Roman"/>
          <w:b w:val="false"/>
          <w:i w:val="false"/>
          <w:color w:val="000000"/>
          <w:sz w:val="28"/>
        </w:rPr>
        <w:t xml:space="preserve">
      6) информацию об основных рисках, связанных с инвестиционной деятельностью; </w:t>
      </w:r>
      <w:r>
        <w:br/>
      </w:r>
      <w:r>
        <w:rPr>
          <w:rFonts w:ascii="Times New Roman"/>
          <w:b w:val="false"/>
          <w:i w:val="false"/>
          <w:color w:val="000000"/>
          <w:sz w:val="28"/>
        </w:rPr>
        <w:t xml:space="preserve">
      7) политику взимания комиссионного вознаграждения.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27. Инвестиционная декларация и все изменения и дополнения в нее утверждаются советом директоров Фонда после согласования с: </w:t>
      </w:r>
      <w:r>
        <w:br/>
      </w:r>
      <w:r>
        <w:rPr>
          <w:rFonts w:ascii="Times New Roman"/>
          <w:b w:val="false"/>
          <w:i w:val="false"/>
          <w:color w:val="000000"/>
          <w:sz w:val="28"/>
        </w:rPr>
        <w:t xml:space="preserve">
      1) инвестиционным комитетом Фонда – в случае управления пенсионными активами Фондом самостоятельно; </w:t>
      </w:r>
      <w:r>
        <w:br/>
      </w:r>
      <w:r>
        <w:rPr>
          <w:rFonts w:ascii="Times New Roman"/>
          <w:b w:val="false"/>
          <w:i w:val="false"/>
          <w:color w:val="000000"/>
          <w:sz w:val="28"/>
        </w:rPr>
        <w:t xml:space="preserve">
      2) инвестиционным комитетом Организации – в случае наличия между Фондом и Организацией договора об инвестиционном управлении пенсионными активами. </w:t>
      </w:r>
      <w:r>
        <w:br/>
      </w:r>
      <w:r>
        <w:rPr>
          <w:rFonts w:ascii="Times New Roman"/>
          <w:b w:val="false"/>
          <w:i w:val="false"/>
          <w:color w:val="000000"/>
          <w:sz w:val="28"/>
        </w:rPr>
        <w:t>
      Инвестиционная декларация и все изменения и дополнения в нее публикуются в периодических печатных изданиях, распространяемых на всей территории Республики Казахстан тиражом не менее пятнадцати тысяч экземпляров и (или) размещается на сайте Фонда в сети Интернет.</w:t>
      </w:r>
      <w:r>
        <w:br/>
      </w:r>
      <w:r>
        <w:rPr>
          <w:rFonts w:ascii="Times New Roman"/>
          <w:b w:val="false"/>
          <w:i w:val="false"/>
          <w:color w:val="000000"/>
          <w:sz w:val="28"/>
        </w:rPr>
        <w:t>
</w:t>
      </w:r>
      <w:r>
        <w:rPr>
          <w:rFonts w:ascii="Times New Roman"/>
          <w:b w:val="false"/>
          <w:i w:val="false"/>
          <w:color w:val="000000"/>
          <w:sz w:val="28"/>
        </w:rPr>
        <w:t xml:space="preserve">
      28. В целях обеспечения инвестиционного управления собственными активами Фонда (Организации) разрабатывается политика инвестирования собственных активов Фонда (Организации), включающая, но не ограничивающаяся следующим: </w:t>
      </w:r>
      <w:r>
        <w:br/>
      </w:r>
      <w:r>
        <w:rPr>
          <w:rFonts w:ascii="Times New Roman"/>
          <w:b w:val="false"/>
          <w:i w:val="false"/>
          <w:color w:val="000000"/>
          <w:sz w:val="28"/>
        </w:rPr>
        <w:t xml:space="preserve">
      1) цели и стратегии инвестирования собственных активов; </w:t>
      </w:r>
      <w:r>
        <w:br/>
      </w:r>
      <w:r>
        <w:rPr>
          <w:rFonts w:ascii="Times New Roman"/>
          <w:b w:val="false"/>
          <w:i w:val="false"/>
          <w:color w:val="000000"/>
          <w:sz w:val="28"/>
        </w:rPr>
        <w:t xml:space="preserve">
      2) описание и перечень объектов инвестирования; </w:t>
      </w:r>
      <w:r>
        <w:br/>
      </w:r>
      <w:r>
        <w:rPr>
          <w:rFonts w:ascii="Times New Roman"/>
          <w:b w:val="false"/>
          <w:i w:val="false"/>
          <w:color w:val="000000"/>
          <w:sz w:val="28"/>
        </w:rPr>
        <w:t xml:space="preserve">
      3) лимиты инвестирования собственных активов по видам финансовых инструментов и доле валютной нетто-позиции; </w:t>
      </w:r>
      <w:r>
        <w:br/>
      </w:r>
      <w:r>
        <w:rPr>
          <w:rFonts w:ascii="Times New Roman"/>
          <w:b w:val="false"/>
          <w:i w:val="false"/>
          <w:color w:val="000000"/>
          <w:sz w:val="28"/>
        </w:rPr>
        <w:t xml:space="preserve">
      4) условия и ограничения, установленные в отношении инвестиционной деятельности; </w:t>
      </w:r>
      <w:r>
        <w:br/>
      </w:r>
      <w:r>
        <w:rPr>
          <w:rFonts w:ascii="Times New Roman"/>
          <w:b w:val="false"/>
          <w:i w:val="false"/>
          <w:color w:val="000000"/>
          <w:sz w:val="28"/>
        </w:rPr>
        <w:t xml:space="preserve">
      5) условия хеджирования и диверсификации собственных активов с указанием перечня и описания инструментов хеджирования; </w:t>
      </w:r>
      <w:r>
        <w:br/>
      </w:r>
      <w:r>
        <w:rPr>
          <w:rFonts w:ascii="Times New Roman"/>
          <w:b w:val="false"/>
          <w:i w:val="false"/>
          <w:color w:val="000000"/>
          <w:sz w:val="28"/>
        </w:rPr>
        <w:t xml:space="preserve">
      6) информацию об основных рисках, связанных с инвестиционной деятельностью; </w:t>
      </w:r>
      <w:r>
        <w:br/>
      </w:r>
      <w:r>
        <w:rPr>
          <w:rFonts w:ascii="Times New Roman"/>
          <w:b w:val="false"/>
          <w:i w:val="false"/>
          <w:color w:val="000000"/>
          <w:sz w:val="28"/>
        </w:rPr>
        <w:t xml:space="preserve">
      7) совокупный максимальный допустимый размер убытков по инвестиционному портфелю за счет собственных активов. </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29. Политика инвестирования собственных активов Фонда и все изменения и дополнения в нее утверждаются советом директоров Фонда после согласования с: </w:t>
      </w:r>
      <w:r>
        <w:br/>
      </w:r>
      <w:r>
        <w:rPr>
          <w:rFonts w:ascii="Times New Roman"/>
          <w:b w:val="false"/>
          <w:i w:val="false"/>
          <w:color w:val="000000"/>
          <w:sz w:val="28"/>
        </w:rPr>
        <w:t xml:space="preserve">
      1) правлением Фонда; </w:t>
      </w:r>
      <w:r>
        <w:br/>
      </w:r>
      <w:r>
        <w:rPr>
          <w:rFonts w:ascii="Times New Roman"/>
          <w:b w:val="false"/>
          <w:i w:val="false"/>
          <w:color w:val="000000"/>
          <w:sz w:val="28"/>
        </w:rPr>
        <w:t xml:space="preserve">
      2) инвестиционным комитетом Фонда – в случае управления собственными активами Фондом самостоятельно или инвестиционным комитетом Организации – в случае наличия между Фондом и Организацией договора об инвестиционном управлении собственными активами Фонда. </w:t>
      </w:r>
      <w:r>
        <w:br/>
      </w:r>
      <w:r>
        <w:rPr>
          <w:rFonts w:ascii="Times New Roman"/>
          <w:b w:val="false"/>
          <w:i w:val="false"/>
          <w:color w:val="000000"/>
          <w:sz w:val="28"/>
        </w:rPr>
        <w:t>
</w:t>
      </w:r>
      <w:r>
        <w:rPr>
          <w:rFonts w:ascii="Times New Roman"/>
          <w:b w:val="false"/>
          <w:i w:val="false"/>
          <w:color w:val="000000"/>
          <w:sz w:val="28"/>
        </w:rPr>
        <w:t xml:space="preserve">
      30. Политика инвестирования собственных активов Организации и все изменения и дополнения в нее утверждаются советом директоров Организации после согласования с правлением и инвестиционным комитетом Организации. </w:t>
      </w:r>
    </w:p>
    <w:bookmarkEnd w:id="10"/>
    <w:bookmarkStart w:name="z74" w:id="11"/>
    <w:p>
      <w:pPr>
        <w:spacing w:after="0"/>
        <w:ind w:left="0"/>
        <w:jc w:val="left"/>
      </w:pPr>
      <w:r>
        <w:rPr>
          <w:rFonts w:ascii="Times New Roman"/>
          <w:b/>
          <w:i w:val="false"/>
          <w:color w:val="000000"/>
        </w:rPr>
        <w:t xml:space="preserve"> 
Глава 5. Требования к организации деятельности по </w:t>
      </w:r>
      <w:r>
        <w:br/>
      </w:r>
      <w:r>
        <w:rPr>
          <w:rFonts w:ascii="Times New Roman"/>
          <w:b/>
          <w:i w:val="false"/>
          <w:color w:val="000000"/>
        </w:rPr>
        <w:t xml:space="preserve">
инвестиционному управлению пенсионными активами </w:t>
      </w:r>
      <w:r>
        <w:br/>
      </w:r>
      <w:r>
        <w:rPr>
          <w:rFonts w:ascii="Times New Roman"/>
          <w:b/>
          <w:i w:val="false"/>
          <w:color w:val="000000"/>
        </w:rPr>
        <w:t xml:space="preserve">
и собственными активами Фонда (Организации) </w:t>
      </w:r>
    </w:p>
    <w:bookmarkEnd w:id="11"/>
    <w:bookmarkStart w:name="z75" w:id="12"/>
    <w:p>
      <w:pPr>
        <w:spacing w:after="0"/>
        <w:ind w:left="0"/>
        <w:jc w:val="both"/>
      </w:pPr>
      <w:r>
        <w:rPr>
          <w:rFonts w:ascii="Times New Roman"/>
          <w:b w:val="false"/>
          <w:i w:val="false"/>
          <w:color w:val="000000"/>
          <w:sz w:val="28"/>
        </w:rPr>
        <w:t>
      31. В целях обеспечения эффективного инвестиционного управления пенсионными активами и (или) собственными активами Фонда (Организации) ответственными подразделениями Фонда (Организации), осуществляющими инвестиционное управление пенсионными и (или) собственными активами Фонда (Организации), проводятся:</w:t>
      </w:r>
      <w:r>
        <w:br/>
      </w:r>
      <w:r>
        <w:rPr>
          <w:rFonts w:ascii="Times New Roman"/>
          <w:b w:val="false"/>
          <w:i w:val="false"/>
          <w:color w:val="000000"/>
          <w:sz w:val="28"/>
        </w:rPr>
        <w:t>
      1) не реже одного раза в полугодие:</w:t>
      </w:r>
      <w:r>
        <w:br/>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w:t>
      </w:r>
      <w:r>
        <w:br/>
      </w:r>
      <w:r>
        <w:rPr>
          <w:rFonts w:ascii="Times New Roman"/>
          <w:b w:val="false"/>
          <w:i w:val="false"/>
          <w:color w:val="000000"/>
          <w:sz w:val="28"/>
        </w:rPr>
        <w:t>
      2) не реже одного раза в квартал:</w:t>
      </w:r>
      <w:r>
        <w:br/>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влиянием данных рисков на значения пруденциальных нормативов и иных норм и лимитов, установленных уполномоченным органом для Фонда (Организации);</w:t>
      </w:r>
      <w:r>
        <w:br/>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w:t>
      </w:r>
      <w:r>
        <w:br/>
      </w:r>
      <w:r>
        <w:rPr>
          <w:rFonts w:ascii="Times New Roman"/>
          <w:b w:val="false"/>
          <w:i w:val="false"/>
          <w:color w:val="000000"/>
          <w:sz w:val="28"/>
        </w:rPr>
        <w:t>
      анализ, содержащий прогноз размеров пенсионных взносов и выплат, а также структуры обязательств Фонда по срокам их исполнения (на основе анализа структуры вкладчиков, включающего информацию о поле, возрасте вкладчиков, количестве и сумме пенсионных выплат с разбивкой по категориям вкладчиков).</w:t>
      </w:r>
      <w:r>
        <w:br/>
      </w:r>
      <w:r>
        <w:rPr>
          <w:rFonts w:ascii="Times New Roman"/>
          <w:b w:val="false"/>
          <w:i w:val="false"/>
          <w:color w:val="000000"/>
          <w:sz w:val="28"/>
        </w:rPr>
        <w:t>
      Анализ показателей, указанных в абзаце четвертом подпункта 2) настоящего пункта, осуществляется Организацией в случае передачи ей в инвестиционное управление пенсионных и (или) собственных активов Фонда на основании сведений, предоставляемых Фондом;</w:t>
      </w:r>
      <w:r>
        <w:br/>
      </w:r>
      <w:r>
        <w:rPr>
          <w:rFonts w:ascii="Times New Roman"/>
          <w:b w:val="false"/>
          <w:i w:val="false"/>
          <w:color w:val="000000"/>
          <w:sz w:val="28"/>
        </w:rPr>
        <w:t>
      3) на ежедневной основе:</w:t>
      </w:r>
      <w:r>
        <w:br/>
      </w: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и пенсионным активам, с учетом изменения способности мобилизовать ликвидные активы, необходимые для погашения обязательств перед вкладчиками (получателями) и контрагентами,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32. На основе аналитических исследований, указанных в пункте 31 настоящей Инструкции, ответственными подразделениями Фонда (Организации) разрабатываются рекомендации, содержащие подробный перечень факторов, послуживших основанием для предоставления данных рекомендации. </w:t>
      </w:r>
      <w:r>
        <w:br/>
      </w:r>
      <w:r>
        <w:rPr>
          <w:rFonts w:ascii="Times New Roman"/>
          <w:b w:val="false"/>
          <w:i w:val="false"/>
          <w:color w:val="000000"/>
          <w:sz w:val="28"/>
        </w:rPr>
        <w:t>
</w:t>
      </w:r>
      <w:r>
        <w:rPr>
          <w:rFonts w:ascii="Times New Roman"/>
          <w:b w:val="false"/>
          <w:i w:val="false"/>
          <w:color w:val="000000"/>
          <w:sz w:val="28"/>
        </w:rPr>
        <w:t xml:space="preserve">
      33. Рекомендации предоставляются при: </w:t>
      </w:r>
      <w:r>
        <w:br/>
      </w:r>
      <w:r>
        <w:rPr>
          <w:rFonts w:ascii="Times New Roman"/>
          <w:b w:val="false"/>
          <w:i w:val="false"/>
          <w:color w:val="000000"/>
          <w:sz w:val="28"/>
        </w:rPr>
        <w:t xml:space="preserve">
      1) разработке корпоративной стратегии, инвестиционной декларации и политики инвестирования собственных активов, а также внесении изменений и дополнений в указанные документы; </w:t>
      </w:r>
      <w:r>
        <w:br/>
      </w:r>
      <w:r>
        <w:rPr>
          <w:rFonts w:ascii="Times New Roman"/>
          <w:b w:val="false"/>
          <w:i w:val="false"/>
          <w:color w:val="000000"/>
          <w:sz w:val="28"/>
        </w:rPr>
        <w:t xml:space="preserve">
      2) определении и пересмотре лимитов инвестирования; </w:t>
      </w:r>
      <w:r>
        <w:br/>
      </w:r>
      <w:r>
        <w:rPr>
          <w:rFonts w:ascii="Times New Roman"/>
          <w:b w:val="false"/>
          <w:i w:val="false"/>
          <w:color w:val="000000"/>
          <w:sz w:val="28"/>
        </w:rPr>
        <w:t>
      3) определении и пересмотре максимальных допустимых размеров убытков;</w:t>
      </w:r>
      <w:r>
        <w:br/>
      </w:r>
      <w:r>
        <w:rPr>
          <w:rFonts w:ascii="Times New Roman"/>
          <w:b w:val="false"/>
          <w:i w:val="false"/>
          <w:color w:val="000000"/>
          <w:sz w:val="28"/>
        </w:rPr>
        <w:t xml:space="preserve">
      4) принятии инвестиционных решений о совершении сделок за счет пенсионных и (или) собственных активов Фонда (Организации). </w:t>
      </w:r>
      <w:r>
        <w:br/>
      </w:r>
      <w:r>
        <w:rPr>
          <w:rFonts w:ascii="Times New Roman"/>
          <w:b w:val="false"/>
          <w:i w:val="false"/>
          <w:color w:val="000000"/>
          <w:sz w:val="28"/>
        </w:rPr>
        <w:t>
</w:t>
      </w:r>
      <w:r>
        <w:rPr>
          <w:rFonts w:ascii="Times New Roman"/>
          <w:b w:val="false"/>
          <w:i w:val="false"/>
          <w:color w:val="000000"/>
          <w:sz w:val="28"/>
        </w:rPr>
        <w:t xml:space="preserve">
      34. Рекомендация содержит следующие сведения: </w:t>
      </w:r>
      <w:r>
        <w:br/>
      </w:r>
      <w:r>
        <w:rPr>
          <w:rFonts w:ascii="Times New Roman"/>
          <w:b w:val="false"/>
          <w:i w:val="false"/>
          <w:color w:val="000000"/>
          <w:sz w:val="28"/>
        </w:rPr>
        <w:t xml:space="preserve">
      1) дату выдачи и номер рекомендации; </w:t>
      </w:r>
      <w:r>
        <w:br/>
      </w:r>
      <w:r>
        <w:rPr>
          <w:rFonts w:ascii="Times New Roman"/>
          <w:b w:val="false"/>
          <w:i w:val="false"/>
          <w:color w:val="000000"/>
          <w:sz w:val="28"/>
        </w:rPr>
        <w:t xml:space="preserve">
      2) сведения об ответственном подразделении Фонда (Организации), подготовившем рекомендацию; </w:t>
      </w:r>
      <w:r>
        <w:br/>
      </w:r>
      <w:r>
        <w:rPr>
          <w:rFonts w:ascii="Times New Roman"/>
          <w:b w:val="false"/>
          <w:i w:val="false"/>
          <w:color w:val="000000"/>
          <w:sz w:val="28"/>
        </w:rPr>
        <w:t xml:space="preserve">
      3) перечень (описание) источников информации, использованной для выдачи рекомендации; </w:t>
      </w:r>
      <w:r>
        <w:br/>
      </w:r>
      <w:r>
        <w:rPr>
          <w:rFonts w:ascii="Times New Roman"/>
          <w:b w:val="false"/>
          <w:i w:val="false"/>
          <w:color w:val="000000"/>
          <w:sz w:val="28"/>
        </w:rPr>
        <w:t xml:space="preserve">
      4) результаты анализа информации, использованной для выдачи рекомендации, и предлагаемые варианты решений; </w:t>
      </w:r>
      <w:r>
        <w:br/>
      </w:r>
      <w:r>
        <w:rPr>
          <w:rFonts w:ascii="Times New Roman"/>
          <w:b w:val="false"/>
          <w:i w:val="false"/>
          <w:color w:val="000000"/>
          <w:sz w:val="28"/>
        </w:rPr>
        <w:t xml:space="preserve">
      5) подписи лиц, выдавших рекомендацию с указанием их занимаемых должностей; </w:t>
      </w:r>
      <w:r>
        <w:br/>
      </w:r>
      <w:r>
        <w:rPr>
          <w:rFonts w:ascii="Times New Roman"/>
          <w:b w:val="false"/>
          <w:i w:val="false"/>
          <w:color w:val="000000"/>
          <w:sz w:val="28"/>
        </w:rPr>
        <w:t xml:space="preserve">
      6) иную информацию, установленную внутренними документами Фонда (Организации). </w:t>
      </w:r>
      <w:r>
        <w:br/>
      </w:r>
      <w:r>
        <w:rPr>
          <w:rFonts w:ascii="Times New Roman"/>
          <w:b w:val="false"/>
          <w:i w:val="false"/>
          <w:color w:val="000000"/>
          <w:sz w:val="28"/>
        </w:rPr>
        <w:t>
</w:t>
      </w:r>
      <w:r>
        <w:rPr>
          <w:rFonts w:ascii="Times New Roman"/>
          <w:b w:val="false"/>
          <w:i w:val="false"/>
          <w:color w:val="000000"/>
          <w:sz w:val="28"/>
        </w:rPr>
        <w:t xml:space="preserve">
      35. Рекомендация, предоставляемая при принятии инвестиционного решения о совершении сделок за счет пенсионных и (или) собственных активов Фонда (Организации), в дополнение к сведениям, указанным в пункте 34 настоящей инструкции, содержит: </w:t>
      </w:r>
      <w:r>
        <w:br/>
      </w:r>
      <w:r>
        <w:rPr>
          <w:rFonts w:ascii="Times New Roman"/>
          <w:b w:val="false"/>
          <w:i w:val="false"/>
          <w:color w:val="000000"/>
          <w:sz w:val="28"/>
        </w:rPr>
        <w:t xml:space="preserve">
      1) результаты анализа информации, использованной для выдачи рекомендации, включая, но не ограничиваясь информацией о: </w:t>
      </w:r>
      <w:r>
        <w:br/>
      </w:r>
      <w:r>
        <w:rPr>
          <w:rFonts w:ascii="Times New Roman"/>
          <w:b w:val="false"/>
          <w:i w:val="false"/>
          <w:color w:val="000000"/>
          <w:sz w:val="28"/>
        </w:rPr>
        <w:t xml:space="preserve">
      влиянии совершаемой сделки на предполагаемое изменение доходов по собственным и (или) пенсионным активам; </w:t>
      </w:r>
      <w:r>
        <w:br/>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xml:space="preserve">
      влиянии совершаемой сделки на изменение значений пруденциальных нормативов, установленных уполномоченным органом; </w:t>
      </w:r>
      <w:r>
        <w:br/>
      </w:r>
      <w:r>
        <w:rPr>
          <w:rFonts w:ascii="Times New Roman"/>
          <w:b w:val="false"/>
          <w:i w:val="false"/>
          <w:color w:val="000000"/>
          <w:sz w:val="28"/>
        </w:rPr>
        <w:t xml:space="preserve">
      2) предлагаемые варианты инвестиционного решения; </w:t>
      </w:r>
      <w:r>
        <w:br/>
      </w:r>
      <w:r>
        <w:rPr>
          <w:rFonts w:ascii="Times New Roman"/>
          <w:b w:val="false"/>
          <w:i w:val="false"/>
          <w:color w:val="000000"/>
          <w:sz w:val="28"/>
        </w:rPr>
        <w:t xml:space="preserve">
      3) описание финансового инструмента с указанием вида, объема, диапазона цен, уровня доходности и других характеристик (условий) данного инструмента; </w:t>
      </w:r>
      <w:r>
        <w:br/>
      </w:r>
      <w:r>
        <w:rPr>
          <w:rFonts w:ascii="Times New Roman"/>
          <w:b w:val="false"/>
          <w:i w:val="false"/>
          <w:color w:val="000000"/>
          <w:sz w:val="28"/>
        </w:rPr>
        <w:t xml:space="preserve">
      4) цель заключения предлагаемой к совершению сделки в соответствии с инвестиционной декларацией (политикой инвестирования собственных активов Фонда (Организации)). </w:t>
      </w:r>
      <w:r>
        <w:br/>
      </w:r>
      <w:r>
        <w:rPr>
          <w:rFonts w:ascii="Times New Roman"/>
          <w:b w:val="false"/>
          <w:i w:val="false"/>
          <w:color w:val="000000"/>
          <w:sz w:val="28"/>
        </w:rPr>
        <w:t>
</w:t>
      </w:r>
      <w:r>
        <w:rPr>
          <w:rFonts w:ascii="Times New Roman"/>
          <w:b w:val="false"/>
          <w:i w:val="false"/>
          <w:color w:val="000000"/>
          <w:sz w:val="28"/>
        </w:rPr>
        <w:t xml:space="preserve">
      36. Рекомендации хранятся вместе со всеми документами, на основании которых они были подготовлены. </w:t>
      </w:r>
      <w:r>
        <w:br/>
      </w:r>
      <w:r>
        <w:rPr>
          <w:rFonts w:ascii="Times New Roman"/>
          <w:b w:val="false"/>
          <w:i w:val="false"/>
          <w:color w:val="000000"/>
          <w:sz w:val="28"/>
        </w:rPr>
        <w:t>
</w:t>
      </w:r>
      <w:r>
        <w:rPr>
          <w:rFonts w:ascii="Times New Roman"/>
          <w:b w:val="false"/>
          <w:i w:val="false"/>
          <w:color w:val="000000"/>
          <w:sz w:val="28"/>
        </w:rPr>
        <w:t xml:space="preserve">
      37. Подразделение Фонда (Организации), осуществляющее управление рисками: </w:t>
      </w:r>
      <w:r>
        <w:br/>
      </w:r>
      <w:r>
        <w:rPr>
          <w:rFonts w:ascii="Times New Roman"/>
          <w:b w:val="false"/>
          <w:i w:val="false"/>
          <w:color w:val="000000"/>
          <w:sz w:val="28"/>
        </w:rPr>
        <w:t xml:space="preserve">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("stop-loss"), а также критические уровни цен по финансовым инструментам, соответствующих доходностей, после достижения которых повышается вероятность снижения рыночной стоимости финансового инструмента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инвестиционным комитетом Фонда (Организации); </w:t>
      </w:r>
      <w:r>
        <w:br/>
      </w:r>
      <w:r>
        <w:rPr>
          <w:rFonts w:ascii="Times New Roman"/>
          <w:b w:val="false"/>
          <w:i w:val="false"/>
          <w:color w:val="000000"/>
          <w:sz w:val="28"/>
        </w:rPr>
        <w:t xml:space="preserve">
      2) совместно с подразделением, осуществляющим инвестиционное управление пенсионными и (или) собственными активами, инициирует пересмотр лимитов и максимальных допустимого размера убытков в соответствии с масштабом и динамикой рынка финансовых инструментов и ликвидностью финансового инструмента; </w:t>
      </w:r>
      <w:r>
        <w:br/>
      </w:r>
      <w:r>
        <w:rPr>
          <w:rFonts w:ascii="Times New Roman"/>
          <w:b w:val="false"/>
          <w:i w:val="false"/>
          <w:color w:val="000000"/>
          <w:sz w:val="28"/>
        </w:rPr>
        <w:t xml:space="preserve">
      3) готовит заключение о подверженности кредитному, процентному, валютному и фондовому рискам инвестиционного портфеля по пенсионным активам и (или) собственным активам и представляет данное заключение в инвестиционный комитет. </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38. Заключение подразделения Фонда (Организации), осуществляющего управление рисками, подготовленное в соответствии с подпунктом 3) пункта 37 настоящей Инструкции, содержит следующие сведения, включая, но не ограничиваясь сведениями о: </w:t>
      </w:r>
      <w:r>
        <w:br/>
      </w:r>
      <w:r>
        <w:rPr>
          <w:rFonts w:ascii="Times New Roman"/>
          <w:b w:val="false"/>
          <w:i w:val="false"/>
          <w:color w:val="000000"/>
          <w:sz w:val="28"/>
        </w:rPr>
        <w:t xml:space="preserve">
      влиянии совершаемой сделки на соблюдение лимитов, установленных советом директоров и инвестиционным комитетом; </w:t>
      </w:r>
      <w:r>
        <w:br/>
      </w:r>
      <w:r>
        <w:rPr>
          <w:rFonts w:ascii="Times New Roman"/>
          <w:b w:val="false"/>
          <w:i w:val="false"/>
          <w:color w:val="000000"/>
          <w:sz w:val="28"/>
        </w:rPr>
        <w:t xml:space="preserve">
      возможном изменении значений пруденциальных нормативов, установленных уполномоченным органом; </w:t>
      </w:r>
      <w:r>
        <w:br/>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000000"/>
          <w:sz w:val="28"/>
        </w:rPr>
        <w:t xml:space="preserve">
      39. На основании рекомендаций подразделения, осуществляющего аналитические функции, и заключения подразделения, осуществляющего управление рисками совет директоров Фонда: </w:t>
      </w:r>
      <w:r>
        <w:br/>
      </w:r>
      <w:r>
        <w:rPr>
          <w:rFonts w:ascii="Times New Roman"/>
          <w:b w:val="false"/>
          <w:i w:val="false"/>
          <w:color w:val="000000"/>
          <w:sz w:val="28"/>
        </w:rPr>
        <w:t xml:space="preserve">
      1) определяет приоритетные направления инвестирования пенсионных и (или) собственных активов Фонда; </w:t>
      </w:r>
      <w:r>
        <w:br/>
      </w:r>
      <w:r>
        <w:rPr>
          <w:rFonts w:ascii="Times New Roman"/>
          <w:b w:val="false"/>
          <w:i w:val="false"/>
          <w:color w:val="000000"/>
          <w:sz w:val="28"/>
        </w:rPr>
        <w:t xml:space="preserve">
      2) устанавливает и пересматривает не реже одного раза в год следующие лимиты инвестирования за счет пенсионных и (или) собственных активов Фонда: </w:t>
      </w:r>
      <w:r>
        <w:br/>
      </w:r>
      <w:r>
        <w:rPr>
          <w:rFonts w:ascii="Times New Roman"/>
          <w:b w:val="false"/>
          <w:i w:val="false"/>
          <w:color w:val="000000"/>
          <w:sz w:val="28"/>
        </w:rPr>
        <w:t xml:space="preserve">
      лимиты инвестирования по видам финансовых инструментов; </w:t>
      </w:r>
      <w:r>
        <w:br/>
      </w:r>
      <w:r>
        <w:rPr>
          <w:rFonts w:ascii="Times New Roman"/>
          <w:b w:val="false"/>
          <w:i w:val="false"/>
          <w:color w:val="000000"/>
          <w:sz w:val="28"/>
        </w:rPr>
        <w:t xml:space="preserve">
      лимиты инвестирования в финансовые инструменты эмитентов, являющихся резидентами определенного государства ("лимит на страну"); </w:t>
      </w:r>
      <w:r>
        <w:br/>
      </w:r>
      <w:r>
        <w:rPr>
          <w:rFonts w:ascii="Times New Roman"/>
          <w:b w:val="false"/>
          <w:i w:val="false"/>
          <w:color w:val="000000"/>
          <w:sz w:val="28"/>
        </w:rPr>
        <w:t>
      лимит валютной нетто-позиции;</w:t>
      </w:r>
      <w:r>
        <w:br/>
      </w:r>
      <w:r>
        <w:rPr>
          <w:rFonts w:ascii="Times New Roman"/>
          <w:b w:val="false"/>
          <w:i w:val="false"/>
          <w:color w:val="000000"/>
          <w:sz w:val="28"/>
        </w:rPr>
        <w:t xml:space="preserve">
      лимиты инвестирования в финансовые инструменты эмитентов, основной вид деятельности которых связан с определенным сектором экономики; </w:t>
      </w:r>
      <w:r>
        <w:br/>
      </w:r>
      <w:r>
        <w:rPr>
          <w:rFonts w:ascii="Times New Roman"/>
          <w:b w:val="false"/>
          <w:i w:val="false"/>
          <w:color w:val="000000"/>
          <w:sz w:val="28"/>
        </w:rPr>
        <w:t>
      совокупный максимальный допустимый размер убытков по инвестиционному портфелю.</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40. На основании рекомендаций подразделения, осуществляющего аналитические функции, и заключения подразделения, осуществляющего управление рисками, совет директоров Организации определяет приоритетные направления инвестирования собственных активов Организации, устанавливает и пересматривает не реже одного раза в год лимиты инвестирования за счет собственных активов Организации, указанные в подпункте 2) пункта 39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41. На основании рекомендаций подразделения, осуществляющего аналитические функции, и заключения подразделения, осуществляющего управление рисками, инвестиционный комитет Фонда (Организации) принимает инвестиционные решения, устанавливает и пересматривает не реже одного раза в квартал: </w:t>
      </w:r>
      <w:r>
        <w:br/>
      </w:r>
      <w:r>
        <w:rPr>
          <w:rFonts w:ascii="Times New Roman"/>
          <w:b w:val="false"/>
          <w:i w:val="false"/>
          <w:color w:val="000000"/>
          <w:sz w:val="28"/>
        </w:rPr>
        <w:t xml:space="preserve">
      1) следующие лимиты по операциям с финансовыми инструментами в пределах лимитов, утвержденных советом директоров Фонда (в отношении пенсионных и (или) собственных активов Фонда) или Организации (в отношении собственных активов Организации): </w:t>
      </w:r>
      <w:r>
        <w:br/>
      </w:r>
      <w:r>
        <w:rPr>
          <w:rFonts w:ascii="Times New Roman"/>
          <w:b w:val="false"/>
          <w:i w:val="false"/>
          <w:color w:val="000000"/>
          <w:sz w:val="28"/>
        </w:rPr>
        <w:t xml:space="preserve">
      лимиты инвестирования по валютам, в которых номинированы финансовые инструменты; </w:t>
      </w:r>
      <w:r>
        <w:br/>
      </w:r>
      <w:r>
        <w:rPr>
          <w:rFonts w:ascii="Times New Roman"/>
          <w:b w:val="false"/>
          <w:i w:val="false"/>
          <w:color w:val="000000"/>
          <w:sz w:val="28"/>
        </w:rPr>
        <w:t xml:space="preserve">
      лимиты по размеру инвестирования в финансовые инструменты одного эмитента, а также по видам финансовых инструментов данного эмитента; </w:t>
      </w:r>
      <w:r>
        <w:br/>
      </w:r>
      <w:r>
        <w:rPr>
          <w:rFonts w:ascii="Times New Roman"/>
          <w:b w:val="false"/>
          <w:i w:val="false"/>
          <w:color w:val="000000"/>
          <w:sz w:val="28"/>
        </w:rPr>
        <w:t xml:space="preserve">
      максимальный допустимый размер убытков (по стране, валюте, сектору экономики, видам финансовых инструментов и эмитенту); </w:t>
      </w:r>
      <w:r>
        <w:br/>
      </w:r>
      <w:r>
        <w:rPr>
          <w:rFonts w:ascii="Times New Roman"/>
          <w:b w:val="false"/>
          <w:i w:val="false"/>
          <w:color w:val="000000"/>
          <w:sz w:val="28"/>
        </w:rPr>
        <w:t>
      лимиты гэп-позиций на основании ежеквартально проводимого подразделением, осуществляющим управление рисками, анализа гэп-позиций по пенсионным и собственным активам;</w:t>
      </w:r>
      <w:r>
        <w:br/>
      </w:r>
      <w:r>
        <w:rPr>
          <w:rFonts w:ascii="Times New Roman"/>
          <w:b w:val="false"/>
          <w:i w:val="false"/>
          <w:color w:val="000000"/>
          <w:sz w:val="28"/>
        </w:rPr>
        <w:t>
      лимиты "stop-loss" для финансовых инструментов;</w:t>
      </w:r>
      <w:r>
        <w:br/>
      </w:r>
      <w:r>
        <w:rPr>
          <w:rFonts w:ascii="Times New Roman"/>
          <w:b w:val="false"/>
          <w:i w:val="false"/>
          <w:color w:val="000000"/>
          <w:sz w:val="28"/>
        </w:rPr>
        <w:t>
      лимиты "take-profit" для финансовых инструментов;</w:t>
      </w:r>
      <w:r>
        <w:br/>
      </w:r>
      <w:r>
        <w:rPr>
          <w:rFonts w:ascii="Times New Roman"/>
          <w:b w:val="false"/>
          <w:i w:val="false"/>
          <w:color w:val="000000"/>
          <w:sz w:val="28"/>
        </w:rPr>
        <w:t xml:space="preserve">
      2) перечень финансовых инструментов, по которым устанавливаются лимиты "stop-loss" и "take-profit". </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42. Максимальный допустимый размер убытков (по стране, валюте, сектору экономики, видам финансового инструмента, отдельному финансовому инструменту и по эмитенту) по инвестиционному портфелю, сформированному за счет пенсионных активов и (или) собственных активов определяется: </w:t>
      </w:r>
      <w:r>
        <w:br/>
      </w:r>
      <w:r>
        <w:rPr>
          <w:rFonts w:ascii="Times New Roman"/>
          <w:b w:val="false"/>
          <w:i w:val="false"/>
          <w:color w:val="000000"/>
          <w:sz w:val="28"/>
        </w:rPr>
        <w:t xml:space="preserve">
      1) по Фонду, осуществляющему самостоятельное управление пенсионными и (или) собственными активами, в рамках совокупного максимального допустимого размера убытков подразделением Фонда, осуществляющим управление рисками, и утверждается инвестиционным комитетом Фонда; </w:t>
      </w:r>
      <w:r>
        <w:br/>
      </w:r>
      <w:r>
        <w:rPr>
          <w:rFonts w:ascii="Times New Roman"/>
          <w:b w:val="false"/>
          <w:i w:val="false"/>
          <w:color w:val="000000"/>
          <w:sz w:val="28"/>
        </w:rPr>
        <w:t xml:space="preserve">
      2) по Фонду, передавшему Организации в инвестиционное управление пенсионные и (или) собственные активы Фонда, в рамках совокупного максимального допустимого размера убытков подразделением Организации, осуществляющим управление рисками, и утверждается инвестиционным комитетом Организации. </w:t>
      </w:r>
      <w:r>
        <w:br/>
      </w:r>
      <w:r>
        <w:rPr>
          <w:rFonts w:ascii="Times New Roman"/>
          <w:b w:val="false"/>
          <w:i w:val="false"/>
          <w:color w:val="000000"/>
          <w:sz w:val="28"/>
        </w:rPr>
        <w:t>
</w:t>
      </w:r>
      <w:r>
        <w:rPr>
          <w:rFonts w:ascii="Times New Roman"/>
          <w:b w:val="false"/>
          <w:i w:val="false"/>
          <w:color w:val="000000"/>
          <w:sz w:val="28"/>
        </w:rPr>
        <w:t>
      43. Совокупный максимальный допустимый размер убытков по инвестиционному портфелю, сформированному за счет пенсионных активов, определяется по следующей формуле:</w:t>
      </w:r>
      <w:r>
        <w:br/>
      </w:r>
      <w:r>
        <w:rPr>
          <w:rFonts w:ascii="Times New Roman"/>
          <w:b w:val="false"/>
          <w:i w:val="false"/>
          <w:color w:val="000000"/>
          <w:sz w:val="28"/>
        </w:rPr>
        <w:t>
      МДРУсов.по ПА &lt;= ПАпрогноз.*(К2 прогноз.-120 %*(К2 прогноз. по системе*0,7)), где:</w:t>
      </w:r>
      <w:r>
        <w:br/>
      </w:r>
      <w:r>
        <w:rPr>
          <w:rFonts w:ascii="Times New Roman"/>
          <w:b w:val="false"/>
          <w:i w:val="false"/>
          <w:color w:val="000000"/>
          <w:sz w:val="28"/>
        </w:rPr>
        <w:t>
      МДРУсов.поПА - совокупный максимальный допустимый размер убытков по пенсионным активам на дату расчета;</w:t>
      </w:r>
      <w:r>
        <w:br/>
      </w:r>
      <w:r>
        <w:rPr>
          <w:rFonts w:ascii="Times New Roman"/>
          <w:b w:val="false"/>
          <w:i w:val="false"/>
          <w:color w:val="000000"/>
          <w:sz w:val="28"/>
        </w:rPr>
        <w:t>
      ПАпрогноз - прогнозное значение размера пенсионных активов по состоянию на конец следующего отчетного периода;</w:t>
      </w:r>
      <w:r>
        <w:br/>
      </w:r>
      <w:r>
        <w:rPr>
          <w:rFonts w:ascii="Times New Roman"/>
          <w:b w:val="false"/>
          <w:i w:val="false"/>
          <w:color w:val="000000"/>
          <w:sz w:val="28"/>
        </w:rPr>
        <w:t>
      К2 прогноз. - прогнозное значение размера К2 Фонда за 60 (шестьдесят) месяцев на конец следующего отчетного периода, выраженное как абсолютное значение процента;</w:t>
      </w:r>
      <w:r>
        <w:br/>
      </w:r>
      <w:r>
        <w:rPr>
          <w:rFonts w:ascii="Times New Roman"/>
          <w:b w:val="false"/>
          <w:i w:val="false"/>
          <w:color w:val="000000"/>
          <w:sz w:val="28"/>
        </w:rPr>
        <w:t>
      К2 прогноз. по системе - прогнозное значение средневзвешенного размера К2 по всей накопительной пенсионной системе за 60 (шестьдесят) месяцев на конец следующего отчетного периода, выраженное как абсолютное значение процента;</w:t>
      </w:r>
      <w:r>
        <w:br/>
      </w:r>
      <w:r>
        <w:rPr>
          <w:rFonts w:ascii="Times New Roman"/>
          <w:b w:val="false"/>
          <w:i w:val="false"/>
          <w:color w:val="000000"/>
          <w:sz w:val="28"/>
        </w:rPr>
        <w:t>
      К2 прогноз. по системе * 0,7 - прогнозное значение К2, выраженное как абсолютное значение процента, при котором наступит фактическое возмещение Фонда.</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44. Совокупный максимальный допустимый размер убытков по инвестиционному портфелю, сформированному за счет собственных активов Фонда (Организации) рассчитывается по следующей формуле: </w:t>
      </w:r>
    </w:p>
    <w:bookmarkEnd w:id="12"/>
    <w:p>
      <w:pPr>
        <w:spacing w:after="0"/>
        <w:ind w:left="0"/>
        <w:jc w:val="both"/>
      </w:pPr>
      <w:r>
        <w:rPr>
          <w:rFonts w:ascii="Times New Roman"/>
          <w:b w:val="false"/>
          <w:i w:val="false"/>
          <w:color w:val="000000"/>
          <w:sz w:val="28"/>
        </w:rPr>
        <w:t xml:space="preserve">      МДРУ </w:t>
      </w:r>
      <w:r>
        <w:rPr>
          <w:rFonts w:ascii="Times New Roman"/>
          <w:b w:val="false"/>
          <w:i w:val="false"/>
          <w:color w:val="000000"/>
          <w:vertAlign w:val="subscript"/>
        </w:rPr>
        <w:t xml:space="preserve">сов.по СА </w:t>
      </w:r>
      <w:r>
        <w:rPr>
          <w:rFonts w:ascii="Times New Roman"/>
          <w:b w:val="false"/>
          <w:i w:val="false"/>
          <w:color w:val="000000"/>
          <w:sz w:val="28"/>
        </w:rPr>
        <w:t xml:space="preserve">&lt;= 80 % * (СК </w:t>
      </w:r>
      <w:r>
        <w:rPr>
          <w:rFonts w:ascii="Times New Roman"/>
          <w:b w:val="false"/>
          <w:i w:val="false"/>
          <w:color w:val="000000"/>
          <w:vertAlign w:val="subscript"/>
        </w:rPr>
        <w:t xml:space="preserve">прогноз. </w:t>
      </w:r>
      <w:r>
        <w:rPr>
          <w:rFonts w:ascii="Times New Roman"/>
          <w:b w:val="false"/>
          <w:i w:val="false"/>
          <w:color w:val="000000"/>
          <w:sz w:val="28"/>
        </w:rPr>
        <w:t xml:space="preserve">- СК </w:t>
      </w:r>
      <w:r>
        <w:rPr>
          <w:rFonts w:ascii="Times New Roman"/>
          <w:b w:val="false"/>
          <w:i w:val="false"/>
          <w:color w:val="000000"/>
          <w:vertAlign w:val="subscript"/>
        </w:rPr>
        <w:t xml:space="preserve">норматив. </w:t>
      </w:r>
      <w:r>
        <w:rPr>
          <w:rFonts w:ascii="Times New Roman"/>
          <w:b w:val="false"/>
          <w:i w:val="false"/>
          <w:color w:val="000000"/>
          <w:sz w:val="28"/>
        </w:rPr>
        <w:t xml:space="preserve">), где: </w:t>
      </w:r>
    </w:p>
    <w:bookmarkStart w:name="z89" w:id="13"/>
    <w:p>
      <w:pPr>
        <w:spacing w:after="0"/>
        <w:ind w:left="0"/>
        <w:jc w:val="both"/>
      </w:pPr>
      <w:r>
        <w:rPr>
          <w:rFonts w:ascii="Times New Roman"/>
          <w:b w:val="false"/>
          <w:i w:val="false"/>
          <w:color w:val="000000"/>
          <w:sz w:val="28"/>
        </w:rPr>
        <w:t xml:space="preserve">      МДРУ </w:t>
      </w:r>
      <w:r>
        <w:rPr>
          <w:rFonts w:ascii="Times New Roman"/>
          <w:b w:val="false"/>
          <w:i w:val="false"/>
          <w:color w:val="000000"/>
          <w:vertAlign w:val="subscript"/>
        </w:rPr>
        <w:t xml:space="preserve">сов.по СА </w:t>
      </w:r>
      <w:r>
        <w:rPr>
          <w:rFonts w:ascii="Times New Roman"/>
          <w:b w:val="false"/>
          <w:i w:val="false"/>
          <w:color w:val="000000"/>
          <w:sz w:val="28"/>
        </w:rPr>
        <w:t xml:space="preserve">- совокупный максимальный допустимый размер убытков по инвестиционному портфелю, сформированному за счет собственных активов Фонда (Организации); </w:t>
      </w:r>
      <w:r>
        <w:br/>
      </w:r>
      <w:r>
        <w:rPr>
          <w:rFonts w:ascii="Times New Roman"/>
          <w:b w:val="false"/>
          <w:i w:val="false"/>
          <w:color w:val="000000"/>
          <w:sz w:val="28"/>
        </w:rPr>
        <w:t xml:space="preserve">
      СК </w:t>
      </w:r>
      <w:r>
        <w:rPr>
          <w:rFonts w:ascii="Times New Roman"/>
          <w:b w:val="false"/>
          <w:i w:val="false"/>
          <w:color w:val="000000"/>
          <w:vertAlign w:val="subscript"/>
        </w:rPr>
        <w:t xml:space="preserve">прогноз </w:t>
      </w:r>
      <w:r>
        <w:rPr>
          <w:rFonts w:ascii="Times New Roman"/>
          <w:b w:val="false"/>
          <w:i w:val="false"/>
          <w:color w:val="000000"/>
          <w:sz w:val="28"/>
        </w:rPr>
        <w:t>– прогнозное значение размера собственного капитала Фонда (Организации) по состоянию на конец следующего отчетного периода;</w:t>
      </w:r>
      <w:r>
        <w:br/>
      </w:r>
      <w:r>
        <w:rPr>
          <w:rFonts w:ascii="Times New Roman"/>
          <w:b w:val="false"/>
          <w:i w:val="false"/>
          <w:color w:val="000000"/>
          <w:sz w:val="28"/>
        </w:rPr>
        <w:t xml:space="preserve">
      СК </w:t>
      </w:r>
      <w:r>
        <w:rPr>
          <w:rFonts w:ascii="Times New Roman"/>
          <w:b w:val="false"/>
          <w:i w:val="false"/>
          <w:color w:val="000000"/>
          <w:vertAlign w:val="subscript"/>
        </w:rPr>
        <w:t xml:space="preserve">прогноз </w:t>
      </w:r>
      <w:r>
        <w:rPr>
          <w:rFonts w:ascii="Times New Roman"/>
          <w:b w:val="false"/>
          <w:i w:val="false"/>
          <w:color w:val="000000"/>
          <w:sz w:val="28"/>
        </w:rPr>
        <w:t xml:space="preserve">= ЛА </w:t>
      </w:r>
      <w:r>
        <w:rPr>
          <w:rFonts w:ascii="Times New Roman"/>
          <w:b w:val="false"/>
          <w:i w:val="false"/>
          <w:color w:val="000000"/>
          <w:vertAlign w:val="subscript"/>
        </w:rPr>
        <w:t xml:space="preserve">прогноз </w:t>
      </w:r>
      <w:r>
        <w:rPr>
          <w:rFonts w:ascii="Times New Roman"/>
          <w:b w:val="false"/>
          <w:i w:val="false"/>
          <w:color w:val="000000"/>
          <w:sz w:val="28"/>
        </w:rPr>
        <w:t xml:space="preserve">– О </w:t>
      </w:r>
      <w:r>
        <w:rPr>
          <w:rFonts w:ascii="Times New Roman"/>
          <w:b w:val="false"/>
          <w:i w:val="false"/>
          <w:color w:val="000000"/>
          <w:vertAlign w:val="subscript"/>
        </w:rPr>
        <w:t xml:space="preserve">прогноз </w:t>
      </w:r>
      <w:r>
        <w:rPr>
          <w:rFonts w:ascii="Times New Roman"/>
          <w:b w:val="false"/>
          <w:i w:val="false"/>
          <w:color w:val="000000"/>
          <w:sz w:val="28"/>
        </w:rPr>
        <w:t xml:space="preserve">; </w:t>
      </w:r>
      <w:r>
        <w:br/>
      </w:r>
      <w:r>
        <w:rPr>
          <w:rFonts w:ascii="Times New Roman"/>
          <w:b w:val="false"/>
          <w:i w:val="false"/>
          <w:color w:val="000000"/>
          <w:sz w:val="28"/>
        </w:rPr>
        <w:t xml:space="preserve">
      ЛА </w:t>
      </w:r>
      <w:r>
        <w:rPr>
          <w:rFonts w:ascii="Times New Roman"/>
          <w:b w:val="false"/>
          <w:i w:val="false"/>
          <w:color w:val="000000"/>
          <w:vertAlign w:val="subscript"/>
        </w:rPr>
        <w:t xml:space="preserve">прогноз </w:t>
      </w:r>
      <w:r>
        <w:rPr>
          <w:rFonts w:ascii="Times New Roman"/>
          <w:b w:val="false"/>
          <w:i w:val="false"/>
          <w:color w:val="000000"/>
          <w:sz w:val="28"/>
        </w:rPr>
        <w:t xml:space="preserve">– прогнозное значение размера ликвидных активов; </w:t>
      </w:r>
      <w:r>
        <w:br/>
      </w:r>
      <w:r>
        <w:rPr>
          <w:rFonts w:ascii="Times New Roman"/>
          <w:b w:val="false"/>
          <w:i w:val="false"/>
          <w:color w:val="000000"/>
          <w:sz w:val="28"/>
        </w:rPr>
        <w:t xml:space="preserve">
      О </w:t>
      </w:r>
      <w:r>
        <w:rPr>
          <w:rFonts w:ascii="Times New Roman"/>
          <w:b w:val="false"/>
          <w:i w:val="false"/>
          <w:color w:val="000000"/>
          <w:vertAlign w:val="subscript"/>
        </w:rPr>
        <w:t xml:space="preserve">прогноз </w:t>
      </w:r>
      <w:r>
        <w:rPr>
          <w:rFonts w:ascii="Times New Roman"/>
          <w:b w:val="false"/>
          <w:i w:val="false"/>
          <w:color w:val="000000"/>
          <w:sz w:val="28"/>
        </w:rPr>
        <w:t xml:space="preserve">– прогнозное значение размера обязательств; </w:t>
      </w:r>
      <w:r>
        <w:br/>
      </w:r>
      <w:r>
        <w:rPr>
          <w:rFonts w:ascii="Times New Roman"/>
          <w:b w:val="false"/>
          <w:i w:val="false"/>
          <w:color w:val="000000"/>
          <w:sz w:val="28"/>
        </w:rPr>
        <w:t xml:space="preserve">
      СК </w:t>
      </w:r>
      <w:r>
        <w:rPr>
          <w:rFonts w:ascii="Times New Roman"/>
          <w:b w:val="false"/>
          <w:i w:val="false"/>
          <w:color w:val="000000"/>
          <w:vertAlign w:val="subscript"/>
        </w:rPr>
        <w:t xml:space="preserve">норматив </w:t>
      </w:r>
      <w:r>
        <w:rPr>
          <w:rFonts w:ascii="Times New Roman"/>
          <w:b w:val="false"/>
          <w:i w:val="false"/>
          <w:color w:val="000000"/>
          <w:sz w:val="28"/>
        </w:rPr>
        <w:t xml:space="preserve">= ВПА * К1 где: </w:t>
      </w:r>
      <w:r>
        <w:br/>
      </w:r>
      <w:r>
        <w:rPr>
          <w:rFonts w:ascii="Times New Roman"/>
          <w:b w:val="false"/>
          <w:i w:val="false"/>
          <w:color w:val="000000"/>
          <w:sz w:val="28"/>
        </w:rPr>
        <w:t xml:space="preserve">
      ВПА – взвешенные по степени риска пенсионные активы на последнюю отчетную дату; </w:t>
      </w:r>
      <w:r>
        <w:br/>
      </w:r>
      <w:r>
        <w:rPr>
          <w:rFonts w:ascii="Times New Roman"/>
          <w:b w:val="false"/>
          <w:i w:val="false"/>
          <w:color w:val="000000"/>
          <w:sz w:val="28"/>
        </w:rPr>
        <w:t>
      К1 - минимальный уровень достаточности собственного капитала, определяемый договором о соблюдении суммарного коэффициента достаточности собственного капитала, заключенным между Организацией и Фондом, пенсионные активы которого находятся в инвестиционном управлении у данной Организации;</w:t>
      </w:r>
      <w:r>
        <w:br/>
      </w:r>
      <w:r>
        <w:rPr>
          <w:rFonts w:ascii="Times New Roman"/>
          <w:b w:val="false"/>
          <w:i w:val="false"/>
          <w:color w:val="000000"/>
          <w:sz w:val="28"/>
        </w:rPr>
        <w:t xml:space="preserve">
      СК </w:t>
      </w:r>
      <w:r>
        <w:rPr>
          <w:rFonts w:ascii="Times New Roman"/>
          <w:b w:val="false"/>
          <w:i w:val="false"/>
          <w:color w:val="000000"/>
          <w:vertAlign w:val="subscript"/>
        </w:rPr>
        <w:t xml:space="preserve">норматив </w:t>
      </w:r>
      <w:r>
        <w:rPr>
          <w:rFonts w:ascii="Times New Roman"/>
          <w:b w:val="false"/>
          <w:i w:val="false"/>
          <w:color w:val="000000"/>
          <w:sz w:val="28"/>
        </w:rPr>
        <w:t xml:space="preserve">– рассчитываемый размер собственного капитала, при котором выполняется минимальное требование по достаточности собственного капитала. </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45. Совокупные убытки по инвестиционному портфелю, сформированному за счет пенсионных активов или собственных активов Фонда (Организации), не должны превышать совокупный максимальный допустимый размер убытков по пенсионным и (или) собственным активам. </w:t>
      </w:r>
      <w:r>
        <w:br/>
      </w:r>
      <w:r>
        <w:rPr>
          <w:rFonts w:ascii="Times New Roman"/>
          <w:b w:val="false"/>
          <w:i w:val="false"/>
          <w:color w:val="000000"/>
          <w:sz w:val="28"/>
        </w:rPr>
        <w:t xml:space="preserve">
      В случае превышения фактических убытков значения совокупного максимального допустимого размера убытков или в разрезе по стране, валюте, сектору экономики, виду финансового инструмента, эмитента, Фонд (Организация) проводит анализ ситуации и, в зависимости от результатов проведенного анализа, осуществляет соответствующие корректирующие меры, либо пересматривает значение максимального допустимого размера убытков. </w:t>
      </w:r>
    </w:p>
    <w:bookmarkEnd w:id="13"/>
    <w:bookmarkStart w:name="z90" w:id="14"/>
    <w:p>
      <w:pPr>
        <w:spacing w:after="0"/>
        <w:ind w:left="0"/>
        <w:jc w:val="left"/>
      </w:pPr>
      <w:r>
        <w:rPr>
          <w:rFonts w:ascii="Times New Roman"/>
          <w:b/>
          <w:i w:val="false"/>
          <w:color w:val="000000"/>
        </w:rPr>
        <w:t xml:space="preserve"> 
Глава 6. Требования к организации деятельности </w:t>
      </w:r>
      <w:r>
        <w:br/>
      </w:r>
      <w:r>
        <w:rPr>
          <w:rFonts w:ascii="Times New Roman"/>
          <w:b/>
          <w:i w:val="false"/>
          <w:color w:val="000000"/>
        </w:rPr>
        <w:t xml:space="preserve">
инвестиционного комитета </w:t>
      </w:r>
    </w:p>
    <w:bookmarkEnd w:id="14"/>
    <w:bookmarkStart w:name="z91" w:id="15"/>
    <w:p>
      <w:pPr>
        <w:spacing w:after="0"/>
        <w:ind w:left="0"/>
        <w:jc w:val="both"/>
      </w:pPr>
      <w:r>
        <w:rPr>
          <w:rFonts w:ascii="Times New Roman"/>
          <w:b w:val="false"/>
          <w:i w:val="false"/>
          <w:color w:val="000000"/>
          <w:sz w:val="28"/>
        </w:rPr>
        <w:t xml:space="preserve">
      46. Принятие инвестиционных решений в отношении пенсионных активов осуществляется инвестиционным комитетом Фонда (Организации), в состав которого входят: </w:t>
      </w:r>
      <w:r>
        <w:br/>
      </w:r>
      <w:r>
        <w:rPr>
          <w:rFonts w:ascii="Times New Roman"/>
          <w:b w:val="false"/>
          <w:i w:val="false"/>
          <w:color w:val="000000"/>
          <w:sz w:val="28"/>
        </w:rPr>
        <w:t xml:space="preserve">
      1) руководящие работники Фонда (Организации); </w:t>
      </w:r>
      <w:r>
        <w:br/>
      </w:r>
      <w:r>
        <w:rPr>
          <w:rFonts w:ascii="Times New Roman"/>
          <w:b w:val="false"/>
          <w:i w:val="false"/>
          <w:color w:val="000000"/>
          <w:sz w:val="28"/>
        </w:rPr>
        <w:t xml:space="preserve">
      2) руководитель подразделения Фонда (Организации), осуществляющего управление рисками; </w:t>
      </w:r>
      <w:r>
        <w:br/>
      </w:r>
      <w:r>
        <w:rPr>
          <w:rFonts w:ascii="Times New Roman"/>
          <w:b w:val="false"/>
          <w:i w:val="false"/>
          <w:color w:val="000000"/>
          <w:sz w:val="28"/>
        </w:rPr>
        <w:t xml:space="preserve">
      3) представитель Фонда, в случае если пенсионные активы переданы Фондом в инвестиционное управление Организации; </w:t>
      </w:r>
      <w:r>
        <w:br/>
      </w:r>
      <w:r>
        <w:rPr>
          <w:rFonts w:ascii="Times New Roman"/>
          <w:b w:val="false"/>
          <w:i w:val="false"/>
          <w:color w:val="000000"/>
          <w:sz w:val="28"/>
        </w:rPr>
        <w:t xml:space="preserve">
      4) иные работники Фонда (Организации). </w:t>
      </w:r>
      <w:r>
        <w:br/>
      </w:r>
      <w:r>
        <w:rPr>
          <w:rFonts w:ascii="Times New Roman"/>
          <w:b w:val="false"/>
          <w:i w:val="false"/>
          <w:color w:val="000000"/>
          <w:sz w:val="28"/>
        </w:rPr>
        <w:t>
</w:t>
      </w:r>
      <w:r>
        <w:rPr>
          <w:rFonts w:ascii="Times New Roman"/>
          <w:b w:val="false"/>
          <w:i w:val="false"/>
          <w:color w:val="000000"/>
          <w:sz w:val="28"/>
        </w:rPr>
        <w:t xml:space="preserve">
      47. Принятие инвестиционных решений в отношении собственных активов Фонда осуществляется инвестиционным комитетом Фонда либо Организации, в случае передачи собственных активов Фонда в инвестиционное управление Организации. </w:t>
      </w:r>
      <w:r>
        <w:br/>
      </w:r>
      <w:r>
        <w:rPr>
          <w:rFonts w:ascii="Times New Roman"/>
          <w:b w:val="false"/>
          <w:i w:val="false"/>
          <w:color w:val="000000"/>
          <w:sz w:val="28"/>
        </w:rPr>
        <w:t xml:space="preserve">
      Принятие инвестиционных решений в отношении собственных активов Организации осуществляется инвестиционным комитетом Организации. </w:t>
      </w:r>
      <w:r>
        <w:br/>
      </w:r>
      <w:r>
        <w:rPr>
          <w:rFonts w:ascii="Times New Roman"/>
          <w:b w:val="false"/>
          <w:i w:val="false"/>
          <w:color w:val="000000"/>
          <w:sz w:val="28"/>
        </w:rPr>
        <w:t xml:space="preserve">
      В состав инвестиционного комитета, принимающего инвестиционные решения в отношении собственных активов Фонда (Организации), входят: </w:t>
      </w:r>
      <w:r>
        <w:br/>
      </w:r>
      <w:r>
        <w:rPr>
          <w:rFonts w:ascii="Times New Roman"/>
          <w:b w:val="false"/>
          <w:i w:val="false"/>
          <w:color w:val="000000"/>
          <w:sz w:val="28"/>
        </w:rPr>
        <w:t xml:space="preserve">
      1) руководящие работники Фонда (Организации); </w:t>
      </w:r>
      <w:r>
        <w:br/>
      </w:r>
      <w:r>
        <w:rPr>
          <w:rFonts w:ascii="Times New Roman"/>
          <w:b w:val="false"/>
          <w:i w:val="false"/>
          <w:color w:val="000000"/>
          <w:sz w:val="28"/>
        </w:rPr>
        <w:t xml:space="preserve">
      2) руководитель подразделения Фонда (Организации), осуществляющего управление рисками; </w:t>
      </w:r>
      <w:r>
        <w:br/>
      </w:r>
      <w:r>
        <w:rPr>
          <w:rFonts w:ascii="Times New Roman"/>
          <w:b w:val="false"/>
          <w:i w:val="false"/>
          <w:color w:val="000000"/>
          <w:sz w:val="28"/>
        </w:rPr>
        <w:t xml:space="preserve">
      3) представитель Фонда, в случае если собственные активы Фонда переданы в инвестиционное управление Организации; </w:t>
      </w:r>
      <w:r>
        <w:br/>
      </w:r>
      <w:r>
        <w:rPr>
          <w:rFonts w:ascii="Times New Roman"/>
          <w:b w:val="false"/>
          <w:i w:val="false"/>
          <w:color w:val="000000"/>
          <w:sz w:val="28"/>
        </w:rPr>
        <w:t xml:space="preserve">
      4) главный бухгалтер Фонда (Организации) либо руководящий работник Фонда (Организации), курирующий подразделения, осуществляющие функции учета и планирования; </w:t>
      </w:r>
      <w:r>
        <w:br/>
      </w:r>
      <w:r>
        <w:rPr>
          <w:rFonts w:ascii="Times New Roman"/>
          <w:b w:val="false"/>
          <w:i w:val="false"/>
          <w:color w:val="000000"/>
          <w:sz w:val="28"/>
        </w:rPr>
        <w:t xml:space="preserve">
      5) иные работники Фонда (Организации). </w:t>
      </w:r>
      <w:r>
        <w:br/>
      </w:r>
      <w:r>
        <w:rPr>
          <w:rFonts w:ascii="Times New Roman"/>
          <w:b w:val="false"/>
          <w:i w:val="false"/>
          <w:color w:val="000000"/>
          <w:sz w:val="28"/>
        </w:rPr>
        <w:t>
</w:t>
      </w:r>
      <w:r>
        <w:rPr>
          <w:rFonts w:ascii="Times New Roman"/>
          <w:b w:val="false"/>
          <w:i w:val="false"/>
          <w:color w:val="000000"/>
          <w:sz w:val="28"/>
        </w:rPr>
        <w:t xml:space="preserve">
      48. Допускается совмещение функций по принятию инвестиционных решений в отношении пенсионных и (или) собственных активов Фонда (Организации) инвестиционным комитетом Фонда (Организации), соответствующим требованиям, установленным пунктами 46 и 47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49. По итогам проведения заседания инвестиционного комитета составляется протокол с обязательным указанием: </w:t>
      </w:r>
      <w:r>
        <w:br/>
      </w:r>
      <w:r>
        <w:rPr>
          <w:rFonts w:ascii="Times New Roman"/>
          <w:b w:val="false"/>
          <w:i w:val="false"/>
          <w:color w:val="000000"/>
          <w:sz w:val="28"/>
        </w:rPr>
        <w:t xml:space="preserve">
      перечня рассматриваемых на заседании вопросов; </w:t>
      </w:r>
      <w:r>
        <w:br/>
      </w:r>
      <w:r>
        <w:rPr>
          <w:rFonts w:ascii="Times New Roman"/>
          <w:b w:val="false"/>
          <w:i w:val="false"/>
          <w:color w:val="000000"/>
          <w:sz w:val="28"/>
        </w:rPr>
        <w:t xml:space="preserve">
      перечня документов, представленных инвестиционному комитету для принятия инвестиционного решения; </w:t>
      </w:r>
      <w:r>
        <w:br/>
      </w:r>
      <w:r>
        <w:rPr>
          <w:rFonts w:ascii="Times New Roman"/>
          <w:b w:val="false"/>
          <w:i w:val="false"/>
          <w:color w:val="000000"/>
          <w:sz w:val="28"/>
        </w:rPr>
        <w:t xml:space="preserve">
      параметров инвестиционных решений, принятых на данном заседании, с указанием наименования финансовых инструментов, а также условий совершения сделок с ними; </w:t>
      </w:r>
      <w:r>
        <w:br/>
      </w:r>
      <w:r>
        <w:rPr>
          <w:rFonts w:ascii="Times New Roman"/>
          <w:b w:val="false"/>
          <w:i w:val="false"/>
          <w:color w:val="000000"/>
          <w:sz w:val="28"/>
        </w:rPr>
        <w:t>
      итоги голосования по каждому вопросу, рассматриваемому на заседании;</w:t>
      </w:r>
      <w:r>
        <w:br/>
      </w:r>
      <w:r>
        <w:rPr>
          <w:rFonts w:ascii="Times New Roman"/>
          <w:b w:val="false"/>
          <w:i w:val="false"/>
          <w:color w:val="000000"/>
          <w:sz w:val="28"/>
        </w:rPr>
        <w:t>
      мнения членов инвестиционного комитета с обоснованием, в том числе в случае их несогласия с принятым решением и наличие мнения (выраженного при принятии решения), отличного от принятого инвестиционного решения;</w:t>
      </w:r>
      <w:r>
        <w:br/>
      </w:r>
      <w:r>
        <w:rPr>
          <w:rFonts w:ascii="Times New Roman"/>
          <w:b w:val="false"/>
          <w:i w:val="false"/>
          <w:color w:val="000000"/>
          <w:sz w:val="28"/>
        </w:rPr>
        <w:t>
      сведения о возникновении ситуаций, указанных в подпункте 1) </w:t>
      </w:r>
      <w:r>
        <w:rPr>
          <w:rFonts w:ascii="Times New Roman"/>
          <w:b w:val="false"/>
          <w:i w:val="false"/>
          <w:color w:val="000000"/>
          <w:sz w:val="28"/>
        </w:rPr>
        <w:t>пункта 23-1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49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50. Протокол подписывается всеми членами инвестиционного комитета, присутствующими на заседании, и хранится вместе с инвестиционными решениями, принятыми инвестиционным комитетом. </w:t>
      </w:r>
      <w:r>
        <w:br/>
      </w:r>
      <w:r>
        <w:rPr>
          <w:rFonts w:ascii="Times New Roman"/>
          <w:b w:val="false"/>
          <w:i w:val="false"/>
          <w:color w:val="000000"/>
          <w:sz w:val="28"/>
        </w:rPr>
        <w:t>
</w:t>
      </w:r>
      <w:r>
        <w:rPr>
          <w:rFonts w:ascii="Times New Roman"/>
          <w:b w:val="false"/>
          <w:i w:val="false"/>
          <w:color w:val="000000"/>
          <w:sz w:val="28"/>
        </w:rPr>
        <w:t xml:space="preserve">
      51. Инвестиционное решение может быть принято в отношении совершения как одной, так и нескольких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52. Инвестиционное решение для совершения сделки с финансовыми инструментами содержит: </w:t>
      </w:r>
      <w:r>
        <w:br/>
      </w:r>
      <w:r>
        <w:rPr>
          <w:rFonts w:ascii="Times New Roman"/>
          <w:b w:val="false"/>
          <w:i w:val="false"/>
          <w:color w:val="000000"/>
          <w:sz w:val="28"/>
        </w:rPr>
        <w:t xml:space="preserve">
      1) дату принятия и номер инвестиционного решения; </w:t>
      </w:r>
      <w:r>
        <w:br/>
      </w:r>
      <w:r>
        <w:rPr>
          <w:rFonts w:ascii="Times New Roman"/>
          <w:b w:val="false"/>
          <w:i w:val="false"/>
          <w:color w:val="000000"/>
          <w:sz w:val="28"/>
        </w:rPr>
        <w:t xml:space="preserve">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xml:space="preserve">
      3) вид сделки, подлежащей совершению; </w:t>
      </w:r>
      <w:r>
        <w:br/>
      </w:r>
      <w:r>
        <w:rPr>
          <w:rFonts w:ascii="Times New Roman"/>
          <w:b w:val="false"/>
          <w:i w:val="false"/>
          <w:color w:val="000000"/>
          <w:sz w:val="28"/>
        </w:rPr>
        <w:t xml:space="preserve">
      4) идентификатор финансового инструмента, по которому должна быть совершена сделка; </w:t>
      </w:r>
      <w:r>
        <w:br/>
      </w:r>
      <w:r>
        <w:rPr>
          <w:rFonts w:ascii="Times New Roman"/>
          <w:b w:val="false"/>
          <w:i w:val="false"/>
          <w:color w:val="000000"/>
          <w:sz w:val="28"/>
        </w:rPr>
        <w:t xml:space="preserve">
      5) объем, цену и сумму (диапазон объема, цены и суммы) сделки, подлежащей совершению; </w:t>
      </w:r>
      <w:r>
        <w:br/>
      </w:r>
      <w:r>
        <w:rPr>
          <w:rFonts w:ascii="Times New Roman"/>
          <w:b w:val="false"/>
          <w:i w:val="false"/>
          <w:color w:val="000000"/>
          <w:sz w:val="28"/>
        </w:rPr>
        <w:t xml:space="preserve">
      6) сроки совершения сделки; </w:t>
      </w:r>
      <w:r>
        <w:br/>
      </w:r>
      <w:r>
        <w:rPr>
          <w:rFonts w:ascii="Times New Roman"/>
          <w:b w:val="false"/>
          <w:i w:val="false"/>
          <w:color w:val="000000"/>
          <w:sz w:val="28"/>
        </w:rPr>
        <w:t xml:space="preserve">
      7) указание на тип рынка (первичный или вторичный, организованный или неорганизованный, международный рынки), на котором предполагается совершение сделки; </w:t>
      </w:r>
      <w:r>
        <w:br/>
      </w:r>
      <w:r>
        <w:rPr>
          <w:rFonts w:ascii="Times New Roman"/>
          <w:b w:val="false"/>
          <w:i w:val="false"/>
          <w:color w:val="000000"/>
          <w:sz w:val="28"/>
        </w:rPr>
        <w:t xml:space="preserve">
      8) наименование посредника (брокера), с помощью которого предполагается совершение сделки (при наличии такового); </w:t>
      </w:r>
      <w:r>
        <w:br/>
      </w:r>
      <w:r>
        <w:rPr>
          <w:rFonts w:ascii="Times New Roman"/>
          <w:b w:val="false"/>
          <w:i w:val="false"/>
          <w:color w:val="000000"/>
          <w:sz w:val="28"/>
        </w:rPr>
        <w:t xml:space="preserve">
      9) наименование Фонда, за счет пенсионных активов которого предполагается совершение сделки (для инвестиционных решений за счет пенсионных активов), либо указание на то, что инвестиционное решение принимается в отношении собственных активов Фонда (Организации); </w:t>
      </w:r>
      <w:r>
        <w:br/>
      </w:r>
      <w:r>
        <w:rPr>
          <w:rFonts w:ascii="Times New Roman"/>
          <w:b w:val="false"/>
          <w:i w:val="false"/>
          <w:color w:val="000000"/>
          <w:sz w:val="28"/>
        </w:rPr>
        <w:t xml:space="preserve">
      10) указание на наличие у кого-либо из членов инвестиционного комитета особого мнения в отношении принятия (отклонения) инвестиционного решения; </w:t>
      </w:r>
      <w:r>
        <w:br/>
      </w:r>
      <w:r>
        <w:rPr>
          <w:rFonts w:ascii="Times New Roman"/>
          <w:b w:val="false"/>
          <w:i w:val="false"/>
          <w:color w:val="000000"/>
          <w:sz w:val="28"/>
        </w:rPr>
        <w:t xml:space="preserve">
      11) подписи лиц, принявших инвестиционное решение с указанием их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53. Инвестиционное решение для совершения сделки с инструментами хеджирования помимо сведений, указанных в подпунктах 1)–3), 7)–11) пункта 52 настоящей Инструкции, содержит: </w:t>
      </w:r>
      <w:r>
        <w:br/>
      </w:r>
      <w:r>
        <w:rPr>
          <w:rFonts w:ascii="Times New Roman"/>
          <w:b w:val="false"/>
          <w:i w:val="false"/>
          <w:color w:val="000000"/>
          <w:sz w:val="28"/>
        </w:rPr>
        <w:t xml:space="preserve">
      1)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 </w:t>
      </w:r>
      <w:r>
        <w:br/>
      </w:r>
      <w:r>
        <w:rPr>
          <w:rFonts w:ascii="Times New Roman"/>
          <w:b w:val="false"/>
          <w:i w:val="false"/>
          <w:color w:val="000000"/>
          <w:sz w:val="28"/>
        </w:rPr>
        <w:t xml:space="preserve">
      2) ожидаемые результаты от применения данного инструмента хеджирования; </w:t>
      </w:r>
      <w:r>
        <w:br/>
      </w:r>
      <w:r>
        <w:rPr>
          <w:rFonts w:ascii="Times New Roman"/>
          <w:b w:val="false"/>
          <w:i w:val="false"/>
          <w:color w:val="000000"/>
          <w:sz w:val="28"/>
        </w:rPr>
        <w:t xml:space="preserve">
      3) оценку риска объекта хеджирования (базисного актива) с указанием его вида (процентный, ценовой, валютный и прочее), а также метода его оценки; </w:t>
      </w:r>
      <w:r>
        <w:br/>
      </w:r>
      <w:r>
        <w:rPr>
          <w:rFonts w:ascii="Times New Roman"/>
          <w:b w:val="false"/>
          <w:i w:val="false"/>
          <w:color w:val="000000"/>
          <w:sz w:val="28"/>
        </w:rPr>
        <w:t xml:space="preserve">
      4) объект хеджирования с указанием необходимых реквизитов (идентификационный номер, количество, стоимость, объем, валюта); </w:t>
      </w:r>
      <w:r>
        <w:br/>
      </w:r>
      <w:r>
        <w:rPr>
          <w:rFonts w:ascii="Times New Roman"/>
          <w:b w:val="false"/>
          <w:i w:val="false"/>
          <w:color w:val="000000"/>
          <w:sz w:val="28"/>
        </w:rPr>
        <w:t xml:space="preserve">
      5) расчет, подтверждающий, что совершение данной операции приведет к снижению размера возможных убытков (недополучения дохода) по объекту хеджирования. </w:t>
      </w:r>
      <w:r>
        <w:br/>
      </w:r>
      <w:r>
        <w:rPr>
          <w:rFonts w:ascii="Times New Roman"/>
          <w:b w:val="false"/>
          <w:i w:val="false"/>
          <w:color w:val="000000"/>
          <w:sz w:val="28"/>
        </w:rPr>
        <w:t>
      </w:t>
      </w:r>
      <w:r>
        <w:rPr>
          <w:rFonts w:ascii="Times New Roman"/>
          <w:b w:val="false"/>
          <w:i w:val="false"/>
          <w:color w:val="ff0000"/>
          <w:sz w:val="28"/>
        </w:rPr>
        <w:t xml:space="preserve">Сноска. Пункт 53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54. Принятое инвестиционное решение передается на исполнение подразделению Фонда (Организации), осуществляющему заключение сделок с финансовыми инструментами, либо организации, предоставляющей услуги по заключению сделок с финансовыми инструментами на основании договора, заключенного с Фондом (Организацией). </w:t>
      </w:r>
    </w:p>
    <w:bookmarkEnd w:id="15"/>
    <w:bookmarkStart w:name="z100" w:id="16"/>
    <w:p>
      <w:pPr>
        <w:spacing w:after="0"/>
        <w:ind w:left="0"/>
        <w:jc w:val="left"/>
      </w:pPr>
      <w:r>
        <w:rPr>
          <w:rFonts w:ascii="Times New Roman"/>
          <w:b/>
          <w:i w:val="false"/>
          <w:color w:val="000000"/>
        </w:rPr>
        <w:t xml:space="preserve"> 
Глава 7. Требования к организации мониторинга рисков </w:t>
      </w:r>
      <w:r>
        <w:br/>
      </w:r>
      <w:r>
        <w:rPr>
          <w:rFonts w:ascii="Times New Roman"/>
          <w:b/>
          <w:i w:val="false"/>
          <w:color w:val="000000"/>
        </w:rPr>
        <w:t xml:space="preserve">
в процессе инвестиционной деятельности Фонда (Организации) </w:t>
      </w:r>
    </w:p>
    <w:bookmarkEnd w:id="16"/>
    <w:bookmarkStart w:name="z101" w:id="17"/>
    <w:p>
      <w:pPr>
        <w:spacing w:after="0"/>
        <w:ind w:left="0"/>
        <w:jc w:val="both"/>
      </w:pPr>
      <w:r>
        <w:rPr>
          <w:rFonts w:ascii="Times New Roman"/>
          <w:b w:val="false"/>
          <w:i w:val="false"/>
          <w:color w:val="000000"/>
          <w:sz w:val="28"/>
        </w:rPr>
        <w:t>
      55. Подразделение Фонда (Организации), осуществляющее управление рисками, осуществляет постоянный мониторинг деятельности Фонда (Организации), на постоянной основе производит оценку рисков и участвует в разработке мероприятий по снижению уровня рисков, а именно:</w:t>
      </w:r>
      <w:r>
        <w:br/>
      </w:r>
      <w:r>
        <w:rPr>
          <w:rFonts w:ascii="Times New Roman"/>
          <w:b w:val="false"/>
          <w:i w:val="false"/>
          <w:color w:val="000000"/>
          <w:sz w:val="28"/>
        </w:rPr>
        <w:t xml:space="preserve">
      1) организовывает процесс сбора информации, необходимой для анализа и оценки рисков; </w:t>
      </w:r>
      <w:r>
        <w:br/>
      </w:r>
      <w:r>
        <w:rPr>
          <w:rFonts w:ascii="Times New Roman"/>
          <w:b w:val="false"/>
          <w:i w:val="false"/>
          <w:color w:val="000000"/>
          <w:sz w:val="28"/>
        </w:rPr>
        <w:t xml:space="preserve">
      2) разрабатывает и совершенствует методологию и организует процесс анализа и оценки рисков; </w:t>
      </w:r>
      <w:r>
        <w:br/>
      </w:r>
      <w:r>
        <w:rPr>
          <w:rFonts w:ascii="Times New Roman"/>
          <w:b w:val="false"/>
          <w:i w:val="false"/>
          <w:color w:val="000000"/>
          <w:sz w:val="28"/>
        </w:rPr>
        <w:t xml:space="preserve">
      3) разрабатывает методы управления рисками, в том числе принципы хеджирования финансовых инструментов, приобретенных за счет пенсионных и (или) собственных активов; </w:t>
      </w:r>
      <w:r>
        <w:br/>
      </w:r>
      <w:r>
        <w:rPr>
          <w:rFonts w:ascii="Times New Roman"/>
          <w:b w:val="false"/>
          <w:i w:val="false"/>
          <w:color w:val="000000"/>
          <w:sz w:val="28"/>
        </w:rPr>
        <w:t>
      4) планирует и инициирует мероприятия по снижению уровня рисков;</w:t>
      </w:r>
      <w:r>
        <w:br/>
      </w:r>
      <w:r>
        <w:rPr>
          <w:rFonts w:ascii="Times New Roman"/>
          <w:b w:val="false"/>
          <w:i w:val="false"/>
          <w:color w:val="000000"/>
          <w:sz w:val="28"/>
        </w:rPr>
        <w:t xml:space="preserve">
      5) контролирует исполнение мероприятий по управлению рисками; </w:t>
      </w:r>
      <w:r>
        <w:br/>
      </w:r>
      <w:r>
        <w:rPr>
          <w:rFonts w:ascii="Times New Roman"/>
          <w:b w:val="false"/>
          <w:i w:val="false"/>
          <w:color w:val="000000"/>
          <w:sz w:val="28"/>
        </w:rPr>
        <w:t xml:space="preserve">
      6) проводит анализ: </w:t>
      </w:r>
      <w:r>
        <w:br/>
      </w:r>
      <w:r>
        <w:rPr>
          <w:rFonts w:ascii="Times New Roman"/>
          <w:b w:val="false"/>
          <w:i w:val="false"/>
          <w:color w:val="000000"/>
          <w:sz w:val="28"/>
        </w:rPr>
        <w:t xml:space="preserve">
      балансовых отчетов Фонда (Организации), а также доходов и убытков по собственным и (или) пенсионным активам; </w:t>
      </w:r>
      <w:r>
        <w:br/>
      </w:r>
      <w:r>
        <w:rPr>
          <w:rFonts w:ascii="Times New Roman"/>
          <w:b w:val="false"/>
          <w:i w:val="false"/>
          <w:color w:val="000000"/>
          <w:sz w:val="28"/>
        </w:rPr>
        <w:t xml:space="preserve">
      снижения ликвидности, изменения цен на финансовые инструменты; </w:t>
      </w:r>
      <w:r>
        <w:br/>
      </w:r>
      <w:r>
        <w:rPr>
          <w:rFonts w:ascii="Times New Roman"/>
          <w:b w:val="false"/>
          <w:i w:val="false"/>
          <w:color w:val="000000"/>
          <w:sz w:val="28"/>
        </w:rPr>
        <w:t xml:space="preserve">
      изменения степени рисков, связанных с инвестиционным портфелем, сформированным за счет собственных и (или) пенсионных активов; </w:t>
      </w:r>
      <w:r>
        <w:br/>
      </w:r>
      <w:r>
        <w:rPr>
          <w:rFonts w:ascii="Times New Roman"/>
          <w:b w:val="false"/>
          <w:i w:val="false"/>
          <w:color w:val="000000"/>
          <w:sz w:val="28"/>
        </w:rPr>
        <w:t xml:space="preserve">
      прогнозирует воздействие на собственные и (или) пенсионные активы, рентабельность и ликвидность следующих факторов: </w:t>
      </w:r>
      <w:r>
        <w:br/>
      </w:r>
      <w:r>
        <w:rPr>
          <w:rFonts w:ascii="Times New Roman"/>
          <w:b w:val="false"/>
          <w:i w:val="false"/>
          <w:color w:val="000000"/>
          <w:sz w:val="28"/>
        </w:rPr>
        <w:t xml:space="preserve">
      страновой риск; </w:t>
      </w:r>
      <w:r>
        <w:br/>
      </w:r>
      <w:r>
        <w:rPr>
          <w:rFonts w:ascii="Times New Roman"/>
          <w:b w:val="false"/>
          <w:i w:val="false"/>
          <w:color w:val="000000"/>
          <w:sz w:val="28"/>
        </w:rPr>
        <w:t xml:space="preserve">
      валютный риск; </w:t>
      </w:r>
      <w:r>
        <w:br/>
      </w:r>
      <w:r>
        <w:rPr>
          <w:rFonts w:ascii="Times New Roman"/>
          <w:b w:val="false"/>
          <w:i w:val="false"/>
          <w:color w:val="000000"/>
          <w:sz w:val="28"/>
        </w:rPr>
        <w:t xml:space="preserve">
      риск досрочного погашения финансовых инструментов; </w:t>
      </w:r>
      <w:r>
        <w:br/>
      </w:r>
      <w:r>
        <w:rPr>
          <w:rFonts w:ascii="Times New Roman"/>
          <w:b w:val="false"/>
          <w:i w:val="false"/>
          <w:color w:val="000000"/>
          <w:sz w:val="28"/>
        </w:rPr>
        <w:t xml:space="preserve">
      риск изменения рейтинга эмитента; </w:t>
      </w:r>
      <w:r>
        <w:br/>
      </w:r>
      <w:r>
        <w:rPr>
          <w:rFonts w:ascii="Times New Roman"/>
          <w:b w:val="false"/>
          <w:i w:val="false"/>
          <w:color w:val="000000"/>
          <w:sz w:val="28"/>
        </w:rPr>
        <w:t>
      7) идентифицирует и анализирует внутренние и внешние экономические факторы, представляющие потенциальный и возможный риск, оценивает степень их влияния на финансовые показатели Фонда (Организации);</w:t>
      </w:r>
      <w:r>
        <w:br/>
      </w:r>
      <w:r>
        <w:rPr>
          <w:rFonts w:ascii="Times New Roman"/>
          <w:b w:val="false"/>
          <w:i w:val="false"/>
          <w:color w:val="000000"/>
          <w:sz w:val="28"/>
        </w:rPr>
        <w:t xml:space="preserve">
      8) контролирует выполнение ответственными подразделениями Фонда (Организации) политики распределения рисков по видам проводимых операций, установленных лимитов по операциям с финансовыми инструментами, максимальных допустимых размеров убытков, лимитов "stop-loss", "take-profit", лимитов на гэп-позиции и норм по диверсификации инвестиционного портфеля, установленных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56. В целях осуществления мониторинга результатов инвестиционной деятельности, доходов/расходов по инвестиционному портфелю ответственными подразделениями Фонда (Организации) осуществляются следующие действия: </w:t>
      </w:r>
      <w:r>
        <w:br/>
      </w:r>
      <w:r>
        <w:rPr>
          <w:rFonts w:ascii="Times New Roman"/>
          <w:b w:val="false"/>
          <w:i w:val="false"/>
          <w:color w:val="000000"/>
          <w:sz w:val="28"/>
        </w:rPr>
        <w:t xml:space="preserve">
      1) подразделение Фонда (Организации), ответственное за учет финансовых инструментов, приобретенных за счет пенсионных и (или) собственных активов: </w:t>
      </w:r>
      <w:r>
        <w:br/>
      </w:r>
      <w:r>
        <w:rPr>
          <w:rFonts w:ascii="Times New Roman"/>
          <w:b w:val="false"/>
          <w:i w:val="false"/>
          <w:color w:val="000000"/>
          <w:sz w:val="28"/>
        </w:rPr>
        <w:t xml:space="preserve">
      ежедневно осуществляет расчет доходов и убытков, полученных в результате инвестиционной деятельности за счет пенсионных и (или) собственных активов, и представляет соответствующую информацию в подразделение, осуществляющее управление рисками; </w:t>
      </w:r>
      <w:r>
        <w:br/>
      </w:r>
      <w:r>
        <w:rPr>
          <w:rFonts w:ascii="Times New Roman"/>
          <w:b w:val="false"/>
          <w:i w:val="false"/>
          <w:color w:val="000000"/>
          <w:sz w:val="28"/>
        </w:rPr>
        <w:t xml:space="preserve">
      применяет результаты проведенного теста на обесценение финансового инструмента в соответствии с международными стандартами финансовой отчетности в случае отсутствия рыночной стоимости финансового инструмента; </w:t>
      </w:r>
      <w:r>
        <w:br/>
      </w:r>
      <w:r>
        <w:rPr>
          <w:rFonts w:ascii="Times New Roman"/>
          <w:b w:val="false"/>
          <w:i w:val="false"/>
          <w:color w:val="000000"/>
          <w:sz w:val="28"/>
        </w:rPr>
        <w:t xml:space="preserve">
      2) подразделение, осуществляющее управление рисками, осуществляет мониторинг правильности определения справедливой цены по финансовым инструментам. </w:t>
      </w:r>
      <w:r>
        <w:br/>
      </w:r>
      <w:r>
        <w:rPr>
          <w:rFonts w:ascii="Times New Roman"/>
          <w:b w:val="false"/>
          <w:i w:val="false"/>
          <w:color w:val="000000"/>
          <w:sz w:val="28"/>
        </w:rPr>
        <w:t>
</w:t>
      </w:r>
      <w:r>
        <w:rPr>
          <w:rFonts w:ascii="Times New Roman"/>
          <w:b w:val="false"/>
          <w:i w:val="false"/>
          <w:color w:val="000000"/>
          <w:sz w:val="28"/>
        </w:rPr>
        <w:t xml:space="preserve">
      57. Подразделение, осуществляющее управление рисками, ведет мониторинг ликвидности инвестиционного портфеля посредством: </w:t>
      </w:r>
      <w:r>
        <w:br/>
      </w:r>
      <w:r>
        <w:rPr>
          <w:rFonts w:ascii="Times New Roman"/>
          <w:b w:val="false"/>
          <w:i w:val="false"/>
          <w:color w:val="000000"/>
          <w:sz w:val="28"/>
        </w:rPr>
        <w:t xml:space="preserve">
      1) использования ежедневной таблицы сроков погашения активов и обязательств для вынесения заключения по срокам погашения инструментов хеджирования, рекомендуемых к приобретению; </w:t>
      </w:r>
      <w:r>
        <w:br/>
      </w:r>
      <w:r>
        <w:rPr>
          <w:rFonts w:ascii="Times New Roman"/>
          <w:b w:val="false"/>
          <w:i w:val="false"/>
          <w:color w:val="000000"/>
          <w:sz w:val="28"/>
        </w:rPr>
        <w:t>
      2) проведения регулярного мониторинга показателей дюрации по активам и обязательствам, чувствительных к изменению ставок вознаграждения;</w:t>
      </w:r>
      <w:r>
        <w:br/>
      </w:r>
      <w:r>
        <w:rPr>
          <w:rFonts w:ascii="Times New Roman"/>
          <w:b w:val="false"/>
          <w:i w:val="false"/>
          <w:color w:val="000000"/>
          <w:sz w:val="28"/>
        </w:rPr>
        <w:t xml:space="preserve">
      3) отслеживания риска потери ликвидности, валютного риска по операциям с финансовыми инструментами; </w:t>
      </w:r>
      <w:r>
        <w:br/>
      </w:r>
      <w:r>
        <w:rPr>
          <w:rFonts w:ascii="Times New Roman"/>
          <w:b w:val="false"/>
          <w:i w:val="false"/>
          <w:color w:val="000000"/>
          <w:sz w:val="28"/>
        </w:rPr>
        <w:t xml:space="preserve">
      4) проведения анализа открытых валютных позиций или моделей, в которых проводится оценка стоимости валютных инструментов, для определения чувствительности к изменениям валютных курсов; </w:t>
      </w:r>
      <w:r>
        <w:br/>
      </w:r>
      <w:r>
        <w:rPr>
          <w:rFonts w:ascii="Times New Roman"/>
          <w:b w:val="false"/>
          <w:i w:val="false"/>
          <w:color w:val="000000"/>
          <w:sz w:val="28"/>
        </w:rPr>
        <w:t xml:space="preserve">
      5) использования вспомогательной системы для анализа изменения валютных курсов. </w:t>
      </w:r>
      <w:r>
        <w:br/>
      </w:r>
      <w:r>
        <w:rPr>
          <w:rFonts w:ascii="Times New Roman"/>
          <w:b w:val="false"/>
          <w:i w:val="false"/>
          <w:color w:val="000000"/>
          <w:sz w:val="28"/>
        </w:rPr>
        <w:t xml:space="preserve">
      Подразделение, осуществляющее управление рисками, информирует инвестиционный комитет по позиции по риску потери ликвидности, валютному рискам, в динамике и по видам операций купли (продажи), и инициирует использование инструментов хеджирования валютного риска с помощью производных финансовых инструментов в соответствии с политикой управления активами и обязательствами, либо изменение размеров установленных лимитов. </w:t>
      </w:r>
      <w:r>
        <w:br/>
      </w:r>
      <w:r>
        <w:rPr>
          <w:rFonts w:ascii="Times New Roman"/>
          <w:b w:val="false"/>
          <w:i w:val="false"/>
          <w:color w:val="000000"/>
          <w:sz w:val="28"/>
        </w:rPr>
        <w:t>
</w:t>
      </w:r>
      <w:r>
        <w:rPr>
          <w:rFonts w:ascii="Times New Roman"/>
          <w:b w:val="false"/>
          <w:i w:val="false"/>
          <w:color w:val="000000"/>
          <w:sz w:val="28"/>
        </w:rPr>
        <w:t xml:space="preserve">
      58. Контроль потока денег и сроков погашения активов и обязательств проводится подразделением, ответственным за анализ структуры портфеля, посредством: </w:t>
      </w:r>
      <w:r>
        <w:br/>
      </w:r>
      <w:r>
        <w:rPr>
          <w:rFonts w:ascii="Times New Roman"/>
          <w:b w:val="false"/>
          <w:i w:val="false"/>
          <w:color w:val="000000"/>
          <w:sz w:val="28"/>
        </w:rPr>
        <w:t xml:space="preserve">
      контроля необходимых денег с помощью графика потока денег и графика сроков погашения активов и обязательств; </w:t>
      </w:r>
      <w:r>
        <w:br/>
      </w:r>
      <w:r>
        <w:rPr>
          <w:rFonts w:ascii="Times New Roman"/>
          <w:b w:val="false"/>
          <w:i w:val="false"/>
          <w:color w:val="000000"/>
          <w:sz w:val="28"/>
        </w:rPr>
        <w:t xml:space="preserve">
      определения уровней доходности по срокам погашения, с учетом допущений, вводимых в VAR модель; </w:t>
      </w:r>
      <w:r>
        <w:br/>
      </w:r>
      <w:r>
        <w:rPr>
          <w:rFonts w:ascii="Times New Roman"/>
          <w:b w:val="false"/>
          <w:i w:val="false"/>
          <w:color w:val="000000"/>
          <w:sz w:val="28"/>
        </w:rPr>
        <w:t>
      проведения мониторинга соблюдения лимита гэп-позиций.</w:t>
      </w:r>
      <w:r>
        <w:br/>
      </w:r>
      <w:r>
        <w:rPr>
          <w:rFonts w:ascii="Times New Roman"/>
          <w:b w:val="false"/>
          <w:i w:val="false"/>
          <w:color w:val="000000"/>
          <w:sz w:val="28"/>
        </w:rPr>
        <w:t>
      </w:t>
      </w:r>
      <w:r>
        <w:rPr>
          <w:rFonts w:ascii="Times New Roman"/>
          <w:b w:val="false"/>
          <w:i w:val="false"/>
          <w:color w:val="ff0000"/>
          <w:sz w:val="28"/>
        </w:rPr>
        <w:t xml:space="preserve">Сноска. Пункт 58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59. Подразделение, осуществляющее управление рисками, располагает системой сбора и анализа данных для оценки процентных рисков и осуществляет мониторинг процентного риска, основные источники процентного риска (различия в сроках погашения, ставки рынка заемного капитала, встроенные опционы). </w:t>
      </w:r>
      <w:r>
        <w:br/>
      </w:r>
      <w:r>
        <w:rPr>
          <w:rFonts w:ascii="Times New Roman"/>
          <w:b w:val="false"/>
          <w:i w:val="false"/>
          <w:color w:val="000000"/>
          <w:sz w:val="28"/>
        </w:rPr>
        <w:t>
</w:t>
      </w:r>
      <w:r>
        <w:rPr>
          <w:rFonts w:ascii="Times New Roman"/>
          <w:b w:val="false"/>
          <w:i w:val="false"/>
          <w:color w:val="000000"/>
          <w:sz w:val="28"/>
        </w:rPr>
        <w:t xml:space="preserve">
      60. Подразделение, осуществляющее управление рисками: </w:t>
      </w:r>
      <w:r>
        <w:br/>
      </w:r>
      <w:r>
        <w:rPr>
          <w:rFonts w:ascii="Times New Roman"/>
          <w:b w:val="false"/>
          <w:i w:val="false"/>
          <w:color w:val="000000"/>
          <w:sz w:val="28"/>
        </w:rPr>
        <w:t>
      1)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стресс-тестинг по ценовому риску в соответствии с </w:t>
      </w:r>
      <w:r>
        <w:rPr>
          <w:rFonts w:ascii="Times New Roman"/>
          <w:b w:val="false"/>
          <w:i w:val="false"/>
          <w:color w:val="000000"/>
          <w:sz w:val="28"/>
        </w:rPr>
        <w:t>формой 1</w:t>
      </w:r>
      <w:r>
        <w:rPr>
          <w:rFonts w:ascii="Times New Roman"/>
          <w:b w:val="false"/>
          <w:i w:val="false"/>
          <w:color w:val="000000"/>
          <w:sz w:val="28"/>
        </w:rPr>
        <w:t xml:space="preserve"> приложения 2 к настоящей Инструкции; </w:t>
      </w:r>
      <w:r>
        <w:br/>
      </w:r>
      <w:r>
        <w:rPr>
          <w:rFonts w:ascii="Times New Roman"/>
          <w:b w:val="false"/>
          <w:i w:val="false"/>
          <w:color w:val="000000"/>
          <w:sz w:val="28"/>
        </w:rPr>
        <w:t xml:space="preserve">
      2) проводит бэк-тестинг, а именно осуществляет проверку эффективности процедур измерения рисков с использованием исторических данных по Фонду (Организации) и сравнением рассчитанных в результате проведения стресс-тестинга результатов с текущими (фактическими) результатами от совершения операций с финансовыми инструментами; </w:t>
      </w:r>
      <w:r>
        <w:br/>
      </w:r>
      <w:r>
        <w:rPr>
          <w:rFonts w:ascii="Times New Roman"/>
          <w:b w:val="false"/>
          <w:i w:val="false"/>
          <w:color w:val="000000"/>
          <w:sz w:val="28"/>
        </w:rPr>
        <w:t xml:space="preserve">
      3) представляет результаты стресс-тестингов и бэк-тестингов совету директоров и в инвестиционный комитет, который использует результаты оценки риска и регулярных стресс-тестингов при принятии инвестиционных решений в отношении совершения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61. Обеспечение мониторинга правовых рисков в инвестиционной деятельности Фонда (Организации) осуществляется посредством проведения следующих действий:</w:t>
      </w:r>
      <w:r>
        <w:br/>
      </w:r>
      <w:r>
        <w:rPr>
          <w:rFonts w:ascii="Times New Roman"/>
          <w:b w:val="false"/>
          <w:i w:val="false"/>
          <w:color w:val="000000"/>
          <w:sz w:val="28"/>
        </w:rPr>
        <w:t>
      1) подразделение, осуществляющее управление рисками, на постоянной основе контролирует выполнение ответственными подразделениями норм диверсификации, определенных абзацем шестым подпункта 3) </w:t>
      </w:r>
      <w:r>
        <w:rPr>
          <w:rFonts w:ascii="Times New Roman"/>
          <w:b w:val="false"/>
          <w:i w:val="false"/>
          <w:color w:val="000000"/>
          <w:sz w:val="28"/>
        </w:rPr>
        <w:t>пункта 17</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подразделение, осуществляющее функции правового обеспечения:</w:t>
      </w:r>
      <w:r>
        <w:br/>
      </w:r>
      <w:r>
        <w:rPr>
          <w:rFonts w:ascii="Times New Roman"/>
          <w:b w:val="false"/>
          <w:i w:val="false"/>
          <w:color w:val="000000"/>
          <w:sz w:val="28"/>
        </w:rPr>
        <w:t>
      осуществляет контроль за соответствием деятельности Фонда (Организации) требованиям законодательства Республики Казахстан посредством проведения правовой экспертизы проектов договоров и документов, связанных с договорами, проектов внутренних документов Фонда (Организации), в том числе касающихся проведения операций с финансовыми инструментами;</w:t>
      </w:r>
      <w:r>
        <w:br/>
      </w:r>
      <w:r>
        <w:rPr>
          <w:rFonts w:ascii="Times New Roman"/>
          <w:b w:val="false"/>
          <w:i w:val="false"/>
          <w:color w:val="000000"/>
          <w:sz w:val="28"/>
        </w:rPr>
        <w:t>
      на постоянной основе обеспечивает ознакомление персонала с изменениями в законодательстве Республики Казахстан, регулирующем деятельность Фонда (Организации);</w:t>
      </w:r>
      <w:r>
        <w:br/>
      </w:r>
      <w:r>
        <w:rPr>
          <w:rFonts w:ascii="Times New Roman"/>
          <w:b w:val="false"/>
          <w:i w:val="false"/>
          <w:color w:val="000000"/>
          <w:sz w:val="28"/>
        </w:rPr>
        <w:t>
      3) ответственные структурные подразделения, определяемые Правлением Фонда (Организации), проводят:</w:t>
      </w:r>
      <w:r>
        <w:br/>
      </w:r>
      <w:r>
        <w:rPr>
          <w:rFonts w:ascii="Times New Roman"/>
          <w:b w:val="false"/>
          <w:i w:val="false"/>
          <w:color w:val="000000"/>
          <w:sz w:val="28"/>
        </w:rPr>
        <w:t>
      оценку возможности появления дополнительных рисков, связанных с изменением в законодательстве Республики Казахстан, регулирующем деятельность Фонда (Организации);</w:t>
      </w:r>
      <w:r>
        <w:br/>
      </w:r>
      <w:r>
        <w:rPr>
          <w:rFonts w:ascii="Times New Roman"/>
          <w:b w:val="false"/>
          <w:i w:val="false"/>
          <w:color w:val="000000"/>
          <w:sz w:val="28"/>
        </w:rPr>
        <w:t>
      осуществляют ознакомление персонала с внутренними документами Фонда (Организации);</w:t>
      </w:r>
      <w:r>
        <w:br/>
      </w:r>
      <w:r>
        <w:rPr>
          <w:rFonts w:ascii="Times New Roman"/>
          <w:b w:val="false"/>
          <w:i w:val="false"/>
          <w:color w:val="000000"/>
          <w:sz w:val="28"/>
        </w:rPr>
        <w:t>
      обеспечивают соблюдение Фондом договорных отношений и осуществляют контроль соблюдения контрпартнерами своих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постановления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62. Подразделениями, осуществляющими инвестиционное управление пенсионными и (или) собственными активами и управление рисками, с учетом информации, предоставляемой торговым подразделением, на постоянной основе проводится анализ и мониторинг контрпартнеров посредством изучения их финансовой отчетности, правоустанавливающих документов, другой информации, которая оказывает влияние на способность выполнять контрпартнером принятых обязательств и, в случае обнаружения негативной информации о деятельности контрпартнеров, готовит отчет правлению Фонда (Организации) и инвестиционному комитету Фонда (Организации). </w:t>
      </w:r>
      <w:r>
        <w:br/>
      </w:r>
      <w:r>
        <w:rPr>
          <w:rFonts w:ascii="Times New Roman"/>
          <w:b w:val="false"/>
          <w:i w:val="false"/>
          <w:color w:val="000000"/>
          <w:sz w:val="28"/>
        </w:rPr>
        <w:t>
</w:t>
      </w:r>
      <w:r>
        <w:rPr>
          <w:rFonts w:ascii="Times New Roman"/>
          <w:b w:val="false"/>
          <w:i w:val="false"/>
          <w:color w:val="000000"/>
          <w:sz w:val="28"/>
        </w:rPr>
        <w:t xml:space="preserve">
      63. Подразделение Фонда (Организации), осуществляющее инвестиционное управление пенсионными и (или) собственными активами, на постоянной основе проводит мониторинг финансового состояния эмитента, появление информации, которая оказывает влияние на стоимость финансовых инструментов эмитента или способность выполнять им свои обязательства. Информация представляется не реже одного раза в квартал, в инвестиционный комитет. </w:t>
      </w:r>
    </w:p>
    <w:bookmarkEnd w:id="17"/>
    <w:bookmarkStart w:name="z110" w:id="18"/>
    <w:p>
      <w:pPr>
        <w:spacing w:after="0"/>
        <w:ind w:left="0"/>
        <w:jc w:val="left"/>
      </w:pPr>
      <w:r>
        <w:rPr>
          <w:rFonts w:ascii="Times New Roman"/>
          <w:b/>
          <w:i w:val="false"/>
          <w:color w:val="000000"/>
        </w:rPr>
        <w:t xml:space="preserve"> 
Глава 8. Требования к организации внутреннего аудита </w:t>
      </w:r>
      <w:r>
        <w:br/>
      </w:r>
      <w:r>
        <w:rPr>
          <w:rFonts w:ascii="Times New Roman"/>
          <w:b/>
          <w:i w:val="false"/>
          <w:color w:val="000000"/>
        </w:rPr>
        <w:t xml:space="preserve">
и внутреннего контроля </w:t>
      </w:r>
    </w:p>
    <w:bookmarkEnd w:id="18"/>
    <w:bookmarkStart w:name="z111" w:id="19"/>
    <w:p>
      <w:pPr>
        <w:spacing w:after="0"/>
        <w:ind w:left="0"/>
        <w:jc w:val="both"/>
      </w:pPr>
      <w:r>
        <w:rPr>
          <w:rFonts w:ascii="Times New Roman"/>
          <w:b w:val="false"/>
          <w:i w:val="false"/>
          <w:color w:val="000000"/>
          <w:sz w:val="28"/>
        </w:rPr>
        <w:t xml:space="preserve">
      64. Система внутреннего контроля в Фонде (Организации) создается для: </w:t>
      </w:r>
      <w:r>
        <w:br/>
      </w:r>
      <w:r>
        <w:rPr>
          <w:rFonts w:ascii="Times New Roman"/>
          <w:b w:val="false"/>
          <w:i w:val="false"/>
          <w:color w:val="000000"/>
          <w:sz w:val="28"/>
        </w:rPr>
        <w:t xml:space="preserve">
      1) обеспечения операционной и финансовой эффективности деятельности Фонда (Организации), посредством проверки эффективности и рентабельности управления активами Фонда (Организации) и определения вероятности убытков; </w:t>
      </w:r>
      <w:r>
        <w:br/>
      </w: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Фондом (Организацией);</w:t>
      </w:r>
      <w:r>
        <w:br/>
      </w:r>
      <w:r>
        <w:rPr>
          <w:rFonts w:ascii="Times New Roman"/>
          <w:b w:val="false"/>
          <w:i w:val="false"/>
          <w:color w:val="000000"/>
          <w:sz w:val="28"/>
        </w:rPr>
        <w:t xml:space="preserve">
      3) соблюдения требований законодательства Республики Казахстан посредством проверки соблюдения Фондом (Организацией) требований законодательства Республики Казахстан, документов, определяющих внутреннюю политику и процедуры Фонда (Организации). </w:t>
      </w:r>
      <w:r>
        <w:br/>
      </w:r>
      <w:r>
        <w:rPr>
          <w:rFonts w:ascii="Times New Roman"/>
          <w:b w:val="false"/>
          <w:i w:val="false"/>
          <w:color w:val="000000"/>
          <w:sz w:val="28"/>
        </w:rPr>
        <w:t>
</w:t>
      </w:r>
      <w:r>
        <w:rPr>
          <w:rFonts w:ascii="Times New Roman"/>
          <w:b w:val="false"/>
          <w:i w:val="false"/>
          <w:color w:val="000000"/>
          <w:sz w:val="28"/>
        </w:rPr>
        <w:t xml:space="preserve">
      65. Система внутреннего контроля состоит из пяти взаимосвязанных элементов: </w:t>
      </w:r>
      <w:r>
        <w:br/>
      </w:r>
      <w:r>
        <w:rPr>
          <w:rFonts w:ascii="Times New Roman"/>
          <w:b w:val="false"/>
          <w:i w:val="false"/>
          <w:color w:val="000000"/>
          <w:sz w:val="28"/>
        </w:rPr>
        <w:t xml:space="preserve">
      1) управленческий контроль; </w:t>
      </w:r>
      <w:r>
        <w:br/>
      </w:r>
      <w:r>
        <w:rPr>
          <w:rFonts w:ascii="Times New Roman"/>
          <w:b w:val="false"/>
          <w:i w:val="false"/>
          <w:color w:val="000000"/>
          <w:sz w:val="28"/>
        </w:rPr>
        <w:t xml:space="preserve">
      2) выявление и оценка риска; </w:t>
      </w:r>
      <w:r>
        <w:br/>
      </w:r>
      <w:r>
        <w:rPr>
          <w:rFonts w:ascii="Times New Roman"/>
          <w:b w:val="false"/>
          <w:i w:val="false"/>
          <w:color w:val="000000"/>
          <w:sz w:val="28"/>
        </w:rPr>
        <w:t xml:space="preserve">
      3) осуществление контроля и разделение полномочий; </w:t>
      </w:r>
      <w:r>
        <w:br/>
      </w:r>
      <w:r>
        <w:rPr>
          <w:rFonts w:ascii="Times New Roman"/>
          <w:b w:val="false"/>
          <w:i w:val="false"/>
          <w:color w:val="000000"/>
          <w:sz w:val="28"/>
        </w:rPr>
        <w:t xml:space="preserve">
      4) информация и взаимодействие; </w:t>
      </w:r>
      <w:r>
        <w:br/>
      </w:r>
      <w:r>
        <w:rPr>
          <w:rFonts w:ascii="Times New Roman"/>
          <w:b w:val="false"/>
          <w:i w:val="false"/>
          <w:color w:val="000000"/>
          <w:sz w:val="28"/>
        </w:rPr>
        <w:t xml:space="preserve">
      5) мониторинг и исправление недостатков. </w:t>
      </w:r>
      <w:r>
        <w:br/>
      </w:r>
      <w:r>
        <w:rPr>
          <w:rFonts w:ascii="Times New Roman"/>
          <w:b w:val="false"/>
          <w:i w:val="false"/>
          <w:color w:val="000000"/>
          <w:sz w:val="28"/>
        </w:rPr>
        <w:t xml:space="preserve">
      66. Функционирование системы внутреннего контроля должно происходить по принципу непрерывного поочередного прохождения следующих трех этапов: </w:t>
      </w:r>
      <w:r>
        <w:br/>
      </w:r>
      <w:r>
        <w:rPr>
          <w:rFonts w:ascii="Times New Roman"/>
          <w:b w:val="false"/>
          <w:i w:val="false"/>
          <w:color w:val="000000"/>
          <w:sz w:val="28"/>
        </w:rPr>
        <w:t xml:space="preserve">
      1) формирование системы внутреннего контроля (с учетом результатов оценки эффективности) путем включения процедур во внутренние документы Фонда (Организации); </w:t>
      </w:r>
      <w:r>
        <w:br/>
      </w:r>
      <w:r>
        <w:rPr>
          <w:rFonts w:ascii="Times New Roman"/>
          <w:b w:val="false"/>
          <w:i w:val="false"/>
          <w:color w:val="000000"/>
          <w:sz w:val="28"/>
        </w:rPr>
        <w:t xml:space="preserve">
      2) использование процедур системы внутреннего контроля, определенных внутренними документами Фонда (Организации), в работе; </w:t>
      </w:r>
      <w:r>
        <w:br/>
      </w:r>
      <w:r>
        <w:rPr>
          <w:rFonts w:ascii="Times New Roman"/>
          <w:b w:val="false"/>
          <w:i w:val="false"/>
          <w:color w:val="000000"/>
          <w:sz w:val="28"/>
        </w:rPr>
        <w:t>
      3) проведение оценки эффективности системы внутреннего контроля.</w:t>
      </w:r>
      <w:r>
        <w:br/>
      </w:r>
      <w:r>
        <w:rPr>
          <w:rFonts w:ascii="Times New Roman"/>
          <w:b w:val="false"/>
          <w:i w:val="false"/>
          <w:color w:val="000000"/>
          <w:sz w:val="28"/>
        </w:rPr>
        <w:t>
</w:t>
      </w:r>
      <w:r>
        <w:rPr>
          <w:rFonts w:ascii="Times New Roman"/>
          <w:b w:val="false"/>
          <w:i w:val="false"/>
          <w:color w:val="000000"/>
          <w:sz w:val="28"/>
        </w:rPr>
        <w:t xml:space="preserve">
      67. Система внутреннего контроля включает: </w:t>
      </w:r>
      <w:r>
        <w:br/>
      </w:r>
      <w:r>
        <w:rPr>
          <w:rFonts w:ascii="Times New Roman"/>
          <w:b w:val="false"/>
          <w:i w:val="false"/>
          <w:color w:val="000000"/>
          <w:sz w:val="28"/>
        </w:rPr>
        <w:t xml:space="preserve">
      1) проверку достижения Фондом (Организацией) поставленных целей и задач, посредством представления совету директоров и правлению Фонда (Организации) отчетов о текущих результатах финансовой деятельности Фонда (Организации), с приложением плановых показателей финансовой деятельности; </w:t>
      </w:r>
      <w:r>
        <w:br/>
      </w:r>
      <w:r>
        <w:rPr>
          <w:rFonts w:ascii="Times New Roman"/>
          <w:b w:val="false"/>
          <w:i w:val="false"/>
          <w:color w:val="000000"/>
          <w:sz w:val="28"/>
        </w:rPr>
        <w:t xml:space="preserve">
      2) постоянный контроль руководителем подразделения результатов деятельности подразделения, включающий мониторинг наличия отклонений от плановых показателей и выявление причин таких отклонений; </w:t>
      </w:r>
      <w:r>
        <w:br/>
      </w:r>
      <w:r>
        <w:rPr>
          <w:rFonts w:ascii="Times New Roman"/>
          <w:b w:val="false"/>
          <w:i w:val="false"/>
          <w:color w:val="000000"/>
          <w:sz w:val="28"/>
        </w:rPr>
        <w:t xml:space="preserve">
      3) проверку руководящими работниками Фонда (Организации) стандартных отчетов руководителей подразделений Фонда (Организации) о результатах деятельности подразделений, включающих указание отклонений от плановых показателей и причин невыполнения плановых показателей; </w:t>
      </w:r>
      <w:r>
        <w:br/>
      </w:r>
      <w:r>
        <w:rPr>
          <w:rFonts w:ascii="Times New Roman"/>
          <w:b w:val="false"/>
          <w:i w:val="false"/>
          <w:color w:val="000000"/>
          <w:sz w:val="28"/>
        </w:rPr>
        <w:t>
      4) двухуровневый контроль операций Фонда (Организации), осуществляемых в рамках лицензируемых видов деятельности;</w:t>
      </w:r>
      <w:r>
        <w:br/>
      </w:r>
      <w:r>
        <w:rPr>
          <w:rFonts w:ascii="Times New Roman"/>
          <w:b w:val="false"/>
          <w:i w:val="false"/>
          <w:color w:val="000000"/>
          <w:sz w:val="28"/>
        </w:rPr>
        <w:t>
      5) ограничение доступа к материальным активам Фонда (Организации);</w:t>
      </w:r>
      <w:r>
        <w:br/>
      </w:r>
      <w:r>
        <w:rPr>
          <w:rFonts w:ascii="Times New Roman"/>
          <w:b w:val="false"/>
          <w:i w:val="false"/>
          <w:color w:val="000000"/>
          <w:sz w:val="28"/>
        </w:rPr>
        <w:t xml:space="preserve">
      6) проверку соблюдения установленных лимитов и реализацию мероприятий по устранению выявленных несоответствий; </w:t>
      </w:r>
      <w:r>
        <w:br/>
      </w:r>
      <w:r>
        <w:rPr>
          <w:rFonts w:ascii="Times New Roman"/>
          <w:b w:val="false"/>
          <w:i w:val="false"/>
          <w:color w:val="000000"/>
          <w:sz w:val="28"/>
        </w:rPr>
        <w:t xml:space="preserve">
      7) установление требований к перечню операций, требующих обязательной авторизации; </w:t>
      </w:r>
      <w:r>
        <w:br/>
      </w:r>
      <w:r>
        <w:rPr>
          <w:rFonts w:ascii="Times New Roman"/>
          <w:b w:val="false"/>
          <w:i w:val="false"/>
          <w:color w:val="000000"/>
          <w:sz w:val="28"/>
        </w:rPr>
        <w:t xml:space="preserve">
      8) проверку условий совершения операций и результатов применения моделей управления рисками, связанных с деятельностью Фонда (Организации); </w:t>
      </w:r>
      <w:r>
        <w:br/>
      </w:r>
      <w:r>
        <w:rPr>
          <w:rFonts w:ascii="Times New Roman"/>
          <w:b w:val="false"/>
          <w:i w:val="false"/>
          <w:color w:val="000000"/>
          <w:sz w:val="28"/>
        </w:rPr>
        <w:t>
      9) проверку своевременности, правильности, полноты и точности отражения проведенных операций в учете и отчетности Фонда (Организации);</w:t>
      </w:r>
      <w:r>
        <w:br/>
      </w:r>
      <w:r>
        <w:rPr>
          <w:rFonts w:ascii="Times New Roman"/>
          <w:b w:val="false"/>
          <w:i w:val="false"/>
          <w:color w:val="000000"/>
          <w:sz w:val="28"/>
        </w:rPr>
        <w:t xml:space="preserve">
      10) предотвращение использования услуг Фонда (Организации) в преступных целях, целях легализации (отмыванию) доходов, полученных незаконным путем, и финансирования терроризма. </w:t>
      </w:r>
      <w:r>
        <w:br/>
      </w:r>
      <w:r>
        <w:rPr>
          <w:rFonts w:ascii="Times New Roman"/>
          <w:b w:val="false"/>
          <w:i w:val="false"/>
          <w:color w:val="000000"/>
          <w:sz w:val="28"/>
        </w:rPr>
        <w:t>
      </w:t>
      </w:r>
      <w:r>
        <w:rPr>
          <w:rFonts w:ascii="Times New Roman"/>
          <w:b w:val="false"/>
          <w:i w:val="false"/>
          <w:color w:val="ff0000"/>
          <w:sz w:val="28"/>
        </w:rPr>
        <w:t xml:space="preserve">Сноска. Пункт 67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68. Служба внутреннего аудита создается с целью решения задач,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 </w:t>
      </w:r>
      <w:r>
        <w:br/>
      </w:r>
      <w:r>
        <w:rPr>
          <w:rFonts w:ascii="Times New Roman"/>
          <w:b w:val="false"/>
          <w:i w:val="false"/>
          <w:color w:val="000000"/>
          <w:sz w:val="28"/>
        </w:rPr>
        <w:t xml:space="preserve">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Фонда (Организации), контроль за соблюдением внутренних правил и процедур Фонда (Организации), исполнением рекомендаций внутренних и внешних аудиторов, мер воздействия и требований уполномоченного органа, установленных в отношении осуществления деятельности на финансовом рынке, обеспечение своевременной и достоверной информацией о состоянии выполнения подразделениями и работниками Фонда (Организации), возложенных функций и задач, а также предоставление действенных и эффективных рекомендаций по улучшению работы. </w:t>
      </w:r>
      <w:r>
        <w:br/>
      </w:r>
      <w:r>
        <w:rPr>
          <w:rFonts w:ascii="Times New Roman"/>
          <w:b w:val="false"/>
          <w:i w:val="false"/>
          <w:color w:val="000000"/>
          <w:sz w:val="28"/>
        </w:rPr>
        <w:t>
</w:t>
      </w:r>
      <w:r>
        <w:rPr>
          <w:rFonts w:ascii="Times New Roman"/>
          <w:b w:val="false"/>
          <w:i w:val="false"/>
          <w:color w:val="000000"/>
          <w:sz w:val="28"/>
        </w:rPr>
        <w:t xml:space="preserve">
      69. Руководитель и работники службы внутреннего аудита назначаются советом директоров Фонда (Организации) и имеют доступ ко всем необходимым документам, связанным с деятельностью проверяемого подразделения Фонда (Организации), а также их филиалов и представительств, в том числе составляющим коммерческую и (или) иную охраняемую законами Республики Казахстан тайну. </w:t>
      </w:r>
      <w:r>
        <w:br/>
      </w:r>
      <w:r>
        <w:rPr>
          <w:rFonts w:ascii="Times New Roman"/>
          <w:b w:val="false"/>
          <w:i w:val="false"/>
          <w:color w:val="000000"/>
          <w:sz w:val="28"/>
        </w:rPr>
        <w:t>
</w:t>
      </w:r>
      <w:r>
        <w:rPr>
          <w:rFonts w:ascii="Times New Roman"/>
          <w:b w:val="false"/>
          <w:i w:val="false"/>
          <w:color w:val="000000"/>
          <w:sz w:val="28"/>
        </w:rPr>
        <w:t xml:space="preserve">
      70. Руководитель и работники службы внутреннего аудита соответствуют следующим требованиям: </w:t>
      </w:r>
      <w:r>
        <w:br/>
      </w:r>
      <w:r>
        <w:rPr>
          <w:rFonts w:ascii="Times New Roman"/>
          <w:b w:val="false"/>
          <w:i w:val="false"/>
          <w:color w:val="000000"/>
          <w:sz w:val="28"/>
        </w:rPr>
        <w:t xml:space="preserve">
      имеют высшее образование, </w:t>
      </w:r>
      <w:r>
        <w:br/>
      </w:r>
      <w:r>
        <w:rPr>
          <w:rFonts w:ascii="Times New Roman"/>
          <w:b w:val="false"/>
          <w:i w:val="false"/>
          <w:color w:val="000000"/>
          <w:sz w:val="28"/>
        </w:rPr>
        <w:t xml:space="preserve">
      обладают знаниями законодательства Республики Казахстан, регулирующего деятельность Фонда (Организации); </w:t>
      </w:r>
      <w:r>
        <w:br/>
      </w:r>
      <w:r>
        <w:rPr>
          <w:rFonts w:ascii="Times New Roman"/>
          <w:b w:val="false"/>
          <w:i w:val="false"/>
          <w:color w:val="000000"/>
          <w:sz w:val="28"/>
        </w:rPr>
        <w:t>
      имеют стаж (опыт) работы в сфере предоставления или регулирования финансовых услуг не менее одного года), а также не имеют непогашенную или неснятую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 за преступления, совершенные в сфере экономической деятельности, а также за коррупционные преступления. </w:t>
      </w:r>
      <w:r>
        <w:br/>
      </w:r>
      <w:r>
        <w:rPr>
          <w:rFonts w:ascii="Times New Roman"/>
          <w:b w:val="false"/>
          <w:i w:val="false"/>
          <w:color w:val="000000"/>
          <w:sz w:val="28"/>
        </w:rPr>
        <w:t>
</w:t>
      </w:r>
      <w:r>
        <w:rPr>
          <w:rFonts w:ascii="Times New Roman"/>
          <w:b w:val="false"/>
          <w:i w:val="false"/>
          <w:color w:val="000000"/>
          <w:sz w:val="28"/>
        </w:rPr>
        <w:t xml:space="preserve">
      71. Проверки деятельности подразделений, вовлеченных в осуществление лицензируемых видов деятельности, осуществляются службой внутреннего аудита с периодичностью не менее одного раза в полгода. </w:t>
      </w:r>
      <w:r>
        <w:br/>
      </w:r>
      <w:r>
        <w:rPr>
          <w:rFonts w:ascii="Times New Roman"/>
          <w:b w:val="false"/>
          <w:i w:val="false"/>
          <w:color w:val="000000"/>
          <w:sz w:val="28"/>
        </w:rPr>
        <w:t xml:space="preserve">
      Проверки деятельности инвестиционного комитета Фонда (Организации), филиалов и представительств Фонда (Организации), а также подразделений, не вовлеченных в осуществление лицензируемых видов деятельности, осуществляются службой внутреннего аудита с периодичностью не менее одного раза в год. </w:t>
      </w:r>
      <w:r>
        <w:br/>
      </w:r>
      <w:r>
        <w:rPr>
          <w:rFonts w:ascii="Times New Roman"/>
          <w:b w:val="false"/>
          <w:i w:val="false"/>
          <w:color w:val="000000"/>
          <w:sz w:val="28"/>
        </w:rPr>
        <w:t>
      План проверок утверждается советом директоров Фонда (Организации).</w:t>
      </w:r>
      <w:r>
        <w:br/>
      </w:r>
      <w:r>
        <w:rPr>
          <w:rFonts w:ascii="Times New Roman"/>
          <w:b w:val="false"/>
          <w:i w:val="false"/>
          <w:color w:val="000000"/>
          <w:sz w:val="28"/>
        </w:rPr>
        <w:t>
</w:t>
      </w:r>
      <w:r>
        <w:rPr>
          <w:rFonts w:ascii="Times New Roman"/>
          <w:b w:val="false"/>
          <w:i w:val="false"/>
          <w:color w:val="000000"/>
          <w:sz w:val="28"/>
        </w:rPr>
        <w:t xml:space="preserve">
      72. Основными функциями службы внутреннего аудита являются: </w:t>
      </w:r>
      <w:r>
        <w:br/>
      </w:r>
      <w:r>
        <w:rPr>
          <w:rFonts w:ascii="Times New Roman"/>
          <w:b w:val="false"/>
          <w:i w:val="false"/>
          <w:color w:val="000000"/>
          <w:sz w:val="28"/>
        </w:rPr>
        <w:t xml:space="preserve">
      1) проверка подразделений, филиалов и представительств, а также инвестиционного комитета Фонда (Организации); </w:t>
      </w:r>
      <w:r>
        <w:br/>
      </w:r>
      <w:r>
        <w:rPr>
          <w:rFonts w:ascii="Times New Roman"/>
          <w:b w:val="false"/>
          <w:i w:val="false"/>
          <w:color w:val="000000"/>
          <w:sz w:val="28"/>
        </w:rPr>
        <w:t>
      2) подготовка отчетов для совета директоров, правления Фонда (Организации) по результатам проверок, содержащих выводы об имеющихся недостатках и рекомендации по улучшению деятельности Фонда (Организации);</w:t>
      </w:r>
      <w:r>
        <w:br/>
      </w:r>
      <w:r>
        <w:rPr>
          <w:rFonts w:ascii="Times New Roman"/>
          <w:b w:val="false"/>
          <w:i w:val="false"/>
          <w:color w:val="000000"/>
          <w:sz w:val="28"/>
        </w:rPr>
        <w:t xml:space="preserve">
      3) осуществление контроля за эффективностью принятых подразделениями и органами Фонда (Организации) мер, по результатам проверок подразделений Фонда (Организации), обеспечивающих снижение уровня выявленных рисков, или документирование принятия руководством подразделения и (или) органами управления решения о приемлемости выявленных рисков для Фонда (Организации); </w:t>
      </w:r>
      <w:r>
        <w:br/>
      </w:r>
      <w:r>
        <w:rPr>
          <w:rFonts w:ascii="Times New Roman"/>
          <w:b w:val="false"/>
          <w:i w:val="false"/>
          <w:color w:val="000000"/>
          <w:sz w:val="28"/>
        </w:rPr>
        <w:t xml:space="preserve">
      4) определение области риска в операциях Фонда (Организации), которые необходимо подвергнуть внутреннему и внешнему аудитам; </w:t>
      </w:r>
      <w:r>
        <w:br/>
      </w:r>
      <w:r>
        <w:rPr>
          <w:rFonts w:ascii="Times New Roman"/>
          <w:b w:val="false"/>
          <w:i w:val="false"/>
          <w:color w:val="000000"/>
          <w:sz w:val="28"/>
        </w:rPr>
        <w:t>
      5) оценка процедур внутреннего контроля Фонда (Организации) на предмет обеспечения достоверности и точности финансовой информации, предоставляемой руководству Фонда (Организации) и внешним пользователям;</w:t>
      </w:r>
      <w:r>
        <w:br/>
      </w:r>
      <w:r>
        <w:rPr>
          <w:rFonts w:ascii="Times New Roman"/>
          <w:b w:val="false"/>
          <w:i w:val="false"/>
          <w:color w:val="000000"/>
          <w:sz w:val="28"/>
        </w:rPr>
        <w:t xml:space="preserve">
      6) другие функции, предусмотренные внутренними документами Фонда (Организации). </w:t>
      </w:r>
      <w:r>
        <w:br/>
      </w:r>
      <w:r>
        <w:rPr>
          <w:rFonts w:ascii="Times New Roman"/>
          <w:b w:val="false"/>
          <w:i w:val="false"/>
          <w:color w:val="000000"/>
          <w:sz w:val="28"/>
        </w:rPr>
        <w:t>
</w:t>
      </w:r>
      <w:r>
        <w:rPr>
          <w:rFonts w:ascii="Times New Roman"/>
          <w:b w:val="false"/>
          <w:i w:val="false"/>
          <w:color w:val="000000"/>
          <w:sz w:val="28"/>
        </w:rPr>
        <w:t xml:space="preserve">
      73. В ходе проверки, проводимой службой внутреннего аудита, рассмотрению подлежат следующие вопросы: </w:t>
      </w:r>
      <w:r>
        <w:br/>
      </w:r>
      <w:r>
        <w:rPr>
          <w:rFonts w:ascii="Times New Roman"/>
          <w:b w:val="false"/>
          <w:i w:val="false"/>
          <w:color w:val="000000"/>
          <w:sz w:val="28"/>
        </w:rPr>
        <w:t xml:space="preserve">
      1) проверка процессов и процедур внутреннего контроля, оценка их эффективности; </w:t>
      </w:r>
      <w:r>
        <w:br/>
      </w:r>
      <w:r>
        <w:rPr>
          <w:rFonts w:ascii="Times New Roman"/>
          <w:b w:val="false"/>
          <w:i w:val="false"/>
          <w:color w:val="000000"/>
          <w:sz w:val="28"/>
        </w:rPr>
        <w:t xml:space="preserve">
      2) проверка полноты применения и эффективности методологии оценки рисков и процедур управления рисками (методик, программ, правил, порядков и процедур совершения операций); </w:t>
      </w:r>
      <w:r>
        <w:br/>
      </w:r>
      <w:r>
        <w:rPr>
          <w:rFonts w:ascii="Times New Roman"/>
          <w:b w:val="false"/>
          <w:i w:val="false"/>
          <w:color w:val="000000"/>
          <w:sz w:val="28"/>
        </w:rPr>
        <w:t xml:space="preserve">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 </w:t>
      </w:r>
      <w:r>
        <w:br/>
      </w:r>
      <w:r>
        <w:rPr>
          <w:rFonts w:ascii="Times New Roman"/>
          <w:b w:val="false"/>
          <w:i w:val="false"/>
          <w:color w:val="000000"/>
          <w:sz w:val="28"/>
        </w:rPr>
        <w:t xml:space="preserve">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 </w:t>
      </w:r>
      <w:r>
        <w:br/>
      </w:r>
      <w:r>
        <w:rPr>
          <w:rFonts w:ascii="Times New Roman"/>
          <w:b w:val="false"/>
          <w:i w:val="false"/>
          <w:color w:val="000000"/>
          <w:sz w:val="28"/>
        </w:rPr>
        <w:t>
      5) проверка достоверности, полноты, объективности и своевременности представления Фондом (Организацией) любых сведений и информации в рамках лицензируемых видов деятельности Фонда (Организации);</w:t>
      </w:r>
      <w:r>
        <w:br/>
      </w:r>
      <w:r>
        <w:rPr>
          <w:rFonts w:ascii="Times New Roman"/>
          <w:b w:val="false"/>
          <w:i w:val="false"/>
          <w:color w:val="000000"/>
          <w:sz w:val="28"/>
        </w:rPr>
        <w:t xml:space="preserve">
      6) проверка применяемых способов (методов) обеспечения сохранности имущества Фонда (Организации); </w:t>
      </w:r>
      <w:r>
        <w:br/>
      </w:r>
      <w:r>
        <w:rPr>
          <w:rFonts w:ascii="Times New Roman"/>
          <w:b w:val="false"/>
          <w:i w:val="false"/>
          <w:color w:val="000000"/>
          <w:sz w:val="28"/>
        </w:rPr>
        <w:t xml:space="preserve">
      7) оценка экономической целесообразности и эффективности совершаемых всех видов операций в рамках лицензируемых видов деятельности Фонда (Организации); </w:t>
      </w:r>
      <w:r>
        <w:br/>
      </w:r>
      <w:r>
        <w:rPr>
          <w:rFonts w:ascii="Times New Roman"/>
          <w:b w:val="false"/>
          <w:i w:val="false"/>
          <w:color w:val="000000"/>
          <w:sz w:val="28"/>
        </w:rPr>
        <w:t xml:space="preserve">
      8) проверка систем, созданных в целях соблюдения требований законодательства Республики Казахстан; </w:t>
      </w:r>
      <w:r>
        <w:br/>
      </w:r>
      <w:r>
        <w:rPr>
          <w:rFonts w:ascii="Times New Roman"/>
          <w:b w:val="false"/>
          <w:i w:val="false"/>
          <w:color w:val="000000"/>
          <w:sz w:val="28"/>
        </w:rPr>
        <w:t>
      9) оценка работы службы управления персоналом Фонда (Организации);</w:t>
      </w:r>
      <w:r>
        <w:br/>
      </w:r>
      <w:r>
        <w:rPr>
          <w:rFonts w:ascii="Times New Roman"/>
          <w:b w:val="false"/>
          <w:i w:val="false"/>
          <w:color w:val="000000"/>
          <w:sz w:val="28"/>
        </w:rPr>
        <w:t xml:space="preserve">
      10) правильность обработки ежедневных балансов; </w:t>
      </w:r>
      <w:r>
        <w:br/>
      </w:r>
      <w:r>
        <w:rPr>
          <w:rFonts w:ascii="Times New Roman"/>
          <w:b w:val="false"/>
          <w:i w:val="false"/>
          <w:color w:val="000000"/>
          <w:sz w:val="28"/>
        </w:rPr>
        <w:t xml:space="preserve">
      11) соответствие учетной политики международным стандартам финансовой отчетности; </w:t>
      </w:r>
      <w:r>
        <w:br/>
      </w:r>
      <w:r>
        <w:rPr>
          <w:rFonts w:ascii="Times New Roman"/>
          <w:b w:val="false"/>
          <w:i w:val="false"/>
          <w:color w:val="000000"/>
          <w:sz w:val="28"/>
        </w:rPr>
        <w:t xml:space="preserve">
      12) наличие фактов незаконных манипуляций пенсионными и (или) собственными активами Фонда (Организации); </w:t>
      </w:r>
      <w:r>
        <w:br/>
      </w:r>
      <w:r>
        <w:rPr>
          <w:rFonts w:ascii="Times New Roman"/>
          <w:b w:val="false"/>
          <w:i w:val="false"/>
          <w:color w:val="000000"/>
          <w:sz w:val="28"/>
        </w:rPr>
        <w:t xml:space="preserve">
      13) правильность учета собственных и пенсионных активов Фонда (Организации); </w:t>
      </w:r>
      <w:r>
        <w:br/>
      </w:r>
      <w:r>
        <w:rPr>
          <w:rFonts w:ascii="Times New Roman"/>
          <w:b w:val="false"/>
          <w:i w:val="false"/>
          <w:color w:val="000000"/>
          <w:sz w:val="28"/>
        </w:rPr>
        <w:t xml:space="preserve">
      14) иные вопросы. </w:t>
      </w:r>
      <w:r>
        <w:br/>
      </w:r>
      <w:r>
        <w:rPr>
          <w:rFonts w:ascii="Times New Roman"/>
          <w:b w:val="false"/>
          <w:i w:val="false"/>
          <w:color w:val="000000"/>
          <w:sz w:val="28"/>
        </w:rPr>
        <w:t>
</w:t>
      </w:r>
      <w:r>
        <w:rPr>
          <w:rFonts w:ascii="Times New Roman"/>
          <w:b w:val="false"/>
          <w:i w:val="false"/>
          <w:color w:val="000000"/>
          <w:sz w:val="28"/>
        </w:rPr>
        <w:t xml:space="preserve">
      74. Обязательная к использованию при проведении внутреннего аудита система оценки включает следующие варианты оценки: </w:t>
      </w:r>
      <w:r>
        <w:br/>
      </w:r>
      <w:r>
        <w:rPr>
          <w:rFonts w:ascii="Times New Roman"/>
          <w:b w:val="false"/>
          <w:i w:val="false"/>
          <w:color w:val="000000"/>
          <w:sz w:val="28"/>
        </w:rPr>
        <w:t xml:space="preserve">
      1) "Серьезная ситуация": </w:t>
      </w:r>
      <w:r>
        <w:br/>
      </w:r>
      <w:r>
        <w:rPr>
          <w:rFonts w:ascii="Times New Roman"/>
          <w:b w:val="false"/>
          <w:i w:val="false"/>
          <w:color w:val="000000"/>
          <w:sz w:val="28"/>
        </w:rPr>
        <w:t xml:space="preserve">
      по результатам внутреннего аудита были выявлены грубые нарушения внутренних процедур, а также требований законодательства Республики Казахстан; </w:t>
      </w:r>
      <w:r>
        <w:br/>
      </w:r>
      <w:r>
        <w:rPr>
          <w:rFonts w:ascii="Times New Roman"/>
          <w:b w:val="false"/>
          <w:i w:val="false"/>
          <w:color w:val="000000"/>
          <w:sz w:val="28"/>
        </w:rPr>
        <w:t xml:space="preserve">
      требуется срочная и эффективная исправительная мера по устранению высокого риска, который может подорвать целостность процесса; </w:t>
      </w:r>
      <w:r>
        <w:br/>
      </w:r>
      <w:r>
        <w:rPr>
          <w:rFonts w:ascii="Times New Roman"/>
          <w:b w:val="false"/>
          <w:i w:val="false"/>
          <w:color w:val="000000"/>
          <w:sz w:val="28"/>
        </w:rPr>
        <w:t xml:space="preserve">
      может потребоваться реструктуризация подразделений; </w:t>
      </w:r>
      <w:r>
        <w:br/>
      </w:r>
      <w:r>
        <w:rPr>
          <w:rFonts w:ascii="Times New Roman"/>
          <w:b w:val="false"/>
          <w:i w:val="false"/>
          <w:color w:val="000000"/>
          <w:sz w:val="28"/>
        </w:rPr>
        <w:t xml:space="preserve">
      2) "Недостаточное покрытие риска": </w:t>
      </w:r>
      <w:r>
        <w:br/>
      </w:r>
      <w:r>
        <w:rPr>
          <w:rFonts w:ascii="Times New Roman"/>
          <w:b w:val="false"/>
          <w:i w:val="false"/>
          <w:color w:val="000000"/>
          <w:sz w:val="28"/>
        </w:rPr>
        <w:t xml:space="preserve">
      по результатам внутреннего аудита были выявлены нарушения внутренних процедур, а также требований действующего законодательства; </w:t>
      </w:r>
      <w:r>
        <w:br/>
      </w:r>
      <w:r>
        <w:rPr>
          <w:rFonts w:ascii="Times New Roman"/>
          <w:b w:val="false"/>
          <w:i w:val="false"/>
          <w:color w:val="000000"/>
          <w:sz w:val="28"/>
        </w:rPr>
        <w:t xml:space="preserve">
      устранение выявленных нарушений возможно посредством обязательного выполнения исправительных мероприятий, установленных службой внутреннего аудита; </w:t>
      </w:r>
      <w:r>
        <w:br/>
      </w:r>
      <w:r>
        <w:rPr>
          <w:rFonts w:ascii="Times New Roman"/>
          <w:b w:val="false"/>
          <w:i w:val="false"/>
          <w:color w:val="000000"/>
          <w:sz w:val="28"/>
        </w:rPr>
        <w:t xml:space="preserve">
      3) "Под общим контролем": </w:t>
      </w:r>
      <w:r>
        <w:br/>
      </w:r>
      <w:r>
        <w:rPr>
          <w:rFonts w:ascii="Times New Roman"/>
          <w:b w:val="false"/>
          <w:i w:val="false"/>
          <w:color w:val="000000"/>
          <w:sz w:val="28"/>
        </w:rPr>
        <w:t xml:space="preserve">
      результаты отображают незначительные недостатки, которые могут быть устранены в ходе обычных деловых операций; </w:t>
      </w:r>
      <w:r>
        <w:br/>
      </w:r>
      <w:r>
        <w:rPr>
          <w:rFonts w:ascii="Times New Roman"/>
          <w:b w:val="false"/>
          <w:i w:val="false"/>
          <w:color w:val="000000"/>
          <w:sz w:val="28"/>
        </w:rPr>
        <w:t>
      рекомендуются некоторые последующие исправительные мероприятия;</w:t>
      </w:r>
      <w:r>
        <w:br/>
      </w:r>
      <w:r>
        <w:rPr>
          <w:rFonts w:ascii="Times New Roman"/>
          <w:b w:val="false"/>
          <w:i w:val="false"/>
          <w:color w:val="000000"/>
          <w:sz w:val="28"/>
        </w:rPr>
        <w:t xml:space="preserve">
      4) "Хорошо по всем аспектам": </w:t>
      </w:r>
      <w:r>
        <w:br/>
      </w:r>
      <w:r>
        <w:rPr>
          <w:rFonts w:ascii="Times New Roman"/>
          <w:b w:val="false"/>
          <w:i w:val="false"/>
          <w:color w:val="000000"/>
          <w:sz w:val="28"/>
        </w:rPr>
        <w:t xml:space="preserve">
      правильный баланс между риском и покрытием; </w:t>
      </w:r>
      <w:r>
        <w:br/>
      </w:r>
      <w:r>
        <w:rPr>
          <w:rFonts w:ascii="Times New Roman"/>
          <w:b w:val="false"/>
          <w:i w:val="false"/>
          <w:color w:val="000000"/>
          <w:sz w:val="28"/>
        </w:rPr>
        <w:t xml:space="preserve">
      результаты отражают только незначительные недостатки или их полное отсутствие; </w:t>
      </w:r>
      <w:r>
        <w:br/>
      </w:r>
      <w:r>
        <w:rPr>
          <w:rFonts w:ascii="Times New Roman"/>
          <w:b w:val="false"/>
          <w:i w:val="false"/>
          <w:color w:val="000000"/>
          <w:sz w:val="28"/>
        </w:rPr>
        <w:t xml:space="preserve">
      требуются незначительные исправительные мероприятия или не требуются вообще. </w:t>
      </w:r>
      <w:r>
        <w:br/>
      </w:r>
      <w:r>
        <w:rPr>
          <w:rFonts w:ascii="Times New Roman"/>
          <w:b w:val="false"/>
          <w:i w:val="false"/>
          <w:color w:val="000000"/>
          <w:sz w:val="28"/>
        </w:rPr>
        <w:t>
</w:t>
      </w:r>
      <w:r>
        <w:rPr>
          <w:rFonts w:ascii="Times New Roman"/>
          <w:b w:val="false"/>
          <w:i w:val="false"/>
          <w:color w:val="000000"/>
          <w:sz w:val="28"/>
        </w:rPr>
        <w:t xml:space="preserve">
      75. Совет директоров и правление Фонда (Организации) анализируют отчеты службы внутреннего аудита и принимают меры по недопущению нарушений, выявленных службой внутреннего аудита в дальнейшей деятельности Фонда (Организации). </w:t>
      </w:r>
      <w:r>
        <w:br/>
      </w:r>
      <w:r>
        <w:rPr>
          <w:rFonts w:ascii="Times New Roman"/>
          <w:b w:val="false"/>
          <w:i w:val="false"/>
          <w:color w:val="000000"/>
          <w:sz w:val="28"/>
        </w:rPr>
        <w:t xml:space="preserve">
      Меры, указанные в абзаце первом настоящего пункта Инструкции, оформляются в виде решений (постановлений) совета директоров и правления Фонда (Организации). </w:t>
      </w:r>
      <w:r>
        <w:br/>
      </w:r>
      <w:r>
        <w:rPr>
          <w:rFonts w:ascii="Times New Roman"/>
          <w:b w:val="false"/>
          <w:i w:val="false"/>
          <w:color w:val="000000"/>
          <w:sz w:val="28"/>
        </w:rPr>
        <w:t>
</w:t>
      </w:r>
      <w:r>
        <w:rPr>
          <w:rFonts w:ascii="Times New Roman"/>
          <w:b w:val="false"/>
          <w:i w:val="false"/>
          <w:color w:val="000000"/>
          <w:sz w:val="28"/>
        </w:rPr>
        <w:t xml:space="preserve">
      76. Правление Фонда (Организации) осуществляет оперативный контроль за выполнением рекомендаций службы внутреннего аудита и отчитывается о результатах такого контроля перед советом директоров Фонда (Организации). </w:t>
      </w:r>
      <w:r>
        <w:br/>
      </w:r>
      <w:r>
        <w:rPr>
          <w:rFonts w:ascii="Times New Roman"/>
          <w:b w:val="false"/>
          <w:i w:val="false"/>
          <w:color w:val="000000"/>
          <w:sz w:val="28"/>
        </w:rPr>
        <w:t>
</w:t>
      </w:r>
      <w:r>
        <w:rPr>
          <w:rFonts w:ascii="Times New Roman"/>
          <w:b w:val="false"/>
          <w:i w:val="false"/>
          <w:color w:val="000000"/>
          <w:sz w:val="28"/>
        </w:rPr>
        <w:t xml:space="preserve">
      77. Отчеты службы внутреннего аудита Фонда (Организации) предоставляются уполномоченному органу по его запросу. </w:t>
      </w:r>
    </w:p>
    <w:bookmarkEnd w:id="19"/>
    <w:bookmarkStart w:name="z124" w:id="20"/>
    <w:p>
      <w:pPr>
        <w:spacing w:after="0"/>
        <w:ind w:left="0"/>
        <w:jc w:val="left"/>
      </w:pPr>
      <w:r>
        <w:rPr>
          <w:rFonts w:ascii="Times New Roman"/>
          <w:b/>
          <w:i w:val="false"/>
          <w:color w:val="000000"/>
        </w:rPr>
        <w:t xml:space="preserve"> 
Глава 9. Требования к организации системы информационного обмена </w:t>
      </w:r>
    </w:p>
    <w:bookmarkEnd w:id="20"/>
    <w:bookmarkStart w:name="z125" w:id="21"/>
    <w:p>
      <w:pPr>
        <w:spacing w:after="0"/>
        <w:ind w:left="0"/>
        <w:jc w:val="both"/>
      </w:pPr>
      <w:r>
        <w:rPr>
          <w:rFonts w:ascii="Times New Roman"/>
          <w:b w:val="false"/>
          <w:i w:val="false"/>
          <w:color w:val="000000"/>
          <w:sz w:val="28"/>
        </w:rPr>
        <w:t xml:space="preserve">
      78. Совет директоров Фонда (Организации) для осуществления своих функций получает: </w:t>
      </w:r>
      <w:r>
        <w:br/>
      </w:r>
      <w:r>
        <w:rPr>
          <w:rFonts w:ascii="Times New Roman"/>
          <w:b w:val="false"/>
          <w:i w:val="false"/>
          <w:color w:val="000000"/>
          <w:sz w:val="28"/>
        </w:rPr>
        <w:t xml:space="preserve">
      1) от подразделения Фонда (Организации), осуществляющего инвестиционное управление пенсионными и (или) собственными активами: </w:t>
      </w:r>
      <w:r>
        <w:br/>
      </w:r>
      <w:r>
        <w:rPr>
          <w:rFonts w:ascii="Times New Roman"/>
          <w:b w:val="false"/>
          <w:i w:val="false"/>
          <w:color w:val="000000"/>
          <w:sz w:val="28"/>
        </w:rPr>
        <w:t xml:space="preserve">
      сводный отчет о результатах анализа информации, используемой при осуществлении инвестиционной деятельности Фонда (Организации) – на ежеквартальной основе; </w:t>
      </w:r>
      <w:r>
        <w:br/>
      </w:r>
      <w:r>
        <w:rPr>
          <w:rFonts w:ascii="Times New Roman"/>
          <w:b w:val="false"/>
          <w:i w:val="false"/>
          <w:color w:val="000000"/>
          <w:sz w:val="28"/>
        </w:rPr>
        <w:t xml:space="preserve">
      отчет о принятых инвестиционных решениях - не реже, чем раз в полгода; </w:t>
      </w:r>
      <w:r>
        <w:br/>
      </w:r>
      <w:r>
        <w:rPr>
          <w:rFonts w:ascii="Times New Roman"/>
          <w:b w:val="false"/>
          <w:i w:val="false"/>
          <w:color w:val="000000"/>
          <w:sz w:val="28"/>
        </w:rPr>
        <w:t>
      2) от подразделения Фонда (Организации), осуществляющего управление рисками:</w:t>
      </w:r>
      <w:r>
        <w:br/>
      </w:r>
      <w:r>
        <w:rPr>
          <w:rFonts w:ascii="Times New Roman"/>
          <w:b w:val="false"/>
          <w:i w:val="false"/>
          <w:color w:val="000000"/>
          <w:sz w:val="28"/>
        </w:rPr>
        <w:t>
      информацию о соблюдении (использовании) установленных лимитов - на ежеквартальной основе по форме, установленной внутренними документами Фонда (Организации);</w:t>
      </w:r>
      <w:r>
        <w:br/>
      </w:r>
      <w:r>
        <w:rPr>
          <w:rFonts w:ascii="Times New Roman"/>
          <w:b w:val="false"/>
          <w:i w:val="false"/>
          <w:color w:val="000000"/>
          <w:sz w:val="28"/>
        </w:rPr>
        <w:t>
      информацию о соблюдении (использовании) максимальных допустимых размеров убытков - на ежеквартальной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и бэк-тестингов - каждые два месяца;</w:t>
      </w:r>
      <w:r>
        <w:br/>
      </w:r>
      <w:r>
        <w:rPr>
          <w:rFonts w:ascii="Times New Roman"/>
          <w:b w:val="false"/>
          <w:i w:val="false"/>
          <w:color w:val="000000"/>
          <w:sz w:val="28"/>
        </w:rPr>
        <w:t xml:space="preserve">
      3) от подразделения Фонда (Организации), осуществляющего анализ и планирование бюджета – отчеты о текущих результатах финансово-хозяйственной деятельности Фонда (Организации) в сравнении с тем же периодом за прошлый отчетный период и с запланированными показателями деятельности – на ежеквартальной основе; </w:t>
      </w:r>
      <w:r>
        <w:br/>
      </w:r>
      <w:r>
        <w:rPr>
          <w:rFonts w:ascii="Times New Roman"/>
          <w:b w:val="false"/>
          <w:i w:val="false"/>
          <w:color w:val="000000"/>
          <w:sz w:val="28"/>
        </w:rPr>
        <w:t xml:space="preserve">
      4) от службы внутреннего аудита – отчеты по результатам проверок, содержащие выводы об имеющихся недостатках и рекомендации по улучшению деятельности Фонда (Организации) – по мере подготовки отчетов; </w:t>
      </w:r>
      <w:r>
        <w:br/>
      </w:r>
      <w:r>
        <w:rPr>
          <w:rFonts w:ascii="Times New Roman"/>
          <w:b w:val="false"/>
          <w:i w:val="false"/>
          <w:color w:val="000000"/>
          <w:sz w:val="28"/>
        </w:rPr>
        <w:t xml:space="preserve">
      5) от правления Фонда (Организации) – отчет о результатах осуществления контроля за выполнением рекомендаций службы внутреннего аудита) по улучшению деятельности Фонда (Организации) – на ежеквартальной основе. </w:t>
      </w:r>
      <w:r>
        <w:br/>
      </w:r>
      <w:r>
        <w:rPr>
          <w:rFonts w:ascii="Times New Roman"/>
          <w:b w:val="false"/>
          <w:i w:val="false"/>
          <w:color w:val="000000"/>
          <w:sz w:val="28"/>
        </w:rPr>
        <w:t xml:space="preserve">
      Информация, представляемая совету директоров, включается в повестку заседания совета директоров или направляется членам совета директоров сопроводительным письмом, заверенным подписью первого руководителя Фонда (Организации) или лицом, его замещающим, и печатью Фонда (Организации). </w:t>
      </w:r>
      <w:r>
        <w:br/>
      </w:r>
      <w:r>
        <w:rPr>
          <w:rFonts w:ascii="Times New Roman"/>
          <w:b w:val="false"/>
          <w:i w:val="false"/>
          <w:color w:val="000000"/>
          <w:sz w:val="28"/>
        </w:rPr>
        <w:t>
      </w:t>
      </w:r>
      <w:r>
        <w:rPr>
          <w:rFonts w:ascii="Times New Roman"/>
          <w:b w:val="false"/>
          <w:i w:val="false"/>
          <w:color w:val="ff0000"/>
          <w:sz w:val="28"/>
        </w:rPr>
        <w:t xml:space="preserve">Сноска. Пункт 78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79. Правление Фонда (Организации) для осуществления своих функций получает: </w:t>
      </w:r>
      <w:r>
        <w:br/>
      </w:r>
      <w:r>
        <w:rPr>
          <w:rFonts w:ascii="Times New Roman"/>
          <w:b w:val="false"/>
          <w:i w:val="false"/>
          <w:color w:val="000000"/>
          <w:sz w:val="28"/>
        </w:rPr>
        <w:t xml:space="preserve">
      1) от подразделения Фонда (Организации), осуществляющего аналитические функции – сводный отчет о результатах анализа информации, используемой при осуществлении инвестиционной деятельности Фонда (Организации) за счет собственных активов Фонда (Организации) – на ежеквартальной основе; </w:t>
      </w:r>
      <w:r>
        <w:br/>
      </w:r>
      <w:r>
        <w:rPr>
          <w:rFonts w:ascii="Times New Roman"/>
          <w:b w:val="false"/>
          <w:i w:val="false"/>
          <w:color w:val="000000"/>
          <w:sz w:val="28"/>
        </w:rPr>
        <w:t>
      2) от подразделения Фонда (Организации), осуществляющего управление рисками – информацию о соблюдении (использовании) установленных лимитов и максимальных допустимых размеров убытков при осуществлении инвестиционной деятельности Фонда (Организации) за счет собственных активов Фонда (Организации) – на ежеквартальной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3) от подразделения Фонда (Организации), осуществляющего анализ и планирование бюджета – отчеты о текущих результатах финансово-хозяйственной деятельности Фонда (Организации) в сравнении с тем же периодом за прошлый отчетный период и с запланированными показателями деятельности – на ежеквартальной основе; </w:t>
      </w:r>
      <w:r>
        <w:br/>
      </w:r>
      <w:r>
        <w:rPr>
          <w:rFonts w:ascii="Times New Roman"/>
          <w:b w:val="false"/>
          <w:i w:val="false"/>
          <w:color w:val="000000"/>
          <w:sz w:val="28"/>
        </w:rPr>
        <w:t xml:space="preserve">
      4) от подразделения Фонда (Организации), отслеживающего доходы (расходы) Фонда (Организации) – ежемесячные отчеты о доходах (расходах) Фонда (Организации), с приложением плановых показателей финансовой деятельности, включая динамику по видам деятельности, территориальным и функциональным подразделениям – на ежеквартальной основе; </w:t>
      </w:r>
      <w:r>
        <w:br/>
      </w:r>
      <w:r>
        <w:rPr>
          <w:rFonts w:ascii="Times New Roman"/>
          <w:b w:val="false"/>
          <w:i w:val="false"/>
          <w:color w:val="000000"/>
          <w:sz w:val="28"/>
        </w:rPr>
        <w:t xml:space="preserve">
      5) от службы внутреннего аудита – отчеты по результатам проверок, содержащие выводы об имеющихся недостатках и рекомендации по улучшению деятельности Фонда (Организации) – по мере подготовки отчетов; </w:t>
      </w:r>
      <w:r>
        <w:br/>
      </w:r>
      <w:r>
        <w:rPr>
          <w:rFonts w:ascii="Times New Roman"/>
          <w:b w:val="false"/>
          <w:i w:val="false"/>
          <w:color w:val="000000"/>
          <w:sz w:val="28"/>
        </w:rPr>
        <w:t xml:space="preserve">
      6) от подразделений, осуществляющих инвестиционное управление пенсионными и (или) собственными активами и управление рисками – отчет об обнаружении негативной информации о деятельности контрпартнеров – по мере обнаружения негативной информации о деятельности контрпартнеров; </w:t>
      </w:r>
      <w:r>
        <w:br/>
      </w:r>
      <w:r>
        <w:rPr>
          <w:rFonts w:ascii="Times New Roman"/>
          <w:b w:val="false"/>
          <w:i w:val="false"/>
          <w:color w:val="000000"/>
          <w:sz w:val="28"/>
        </w:rPr>
        <w:t xml:space="preserve">
      7) от подразделения информационного обеспечения Фонда (Организации) раз в квартал информацию о: </w:t>
      </w:r>
      <w:r>
        <w:br/>
      </w:r>
      <w:r>
        <w:rPr>
          <w:rFonts w:ascii="Times New Roman"/>
          <w:b w:val="false"/>
          <w:i w:val="false"/>
          <w:color w:val="000000"/>
          <w:sz w:val="28"/>
        </w:rPr>
        <w:t xml:space="preserve">
      состоянии аппаратно-программных технических комплексов; </w:t>
      </w:r>
      <w:r>
        <w:br/>
      </w:r>
      <w:r>
        <w:rPr>
          <w:rFonts w:ascii="Times New Roman"/>
          <w:b w:val="false"/>
          <w:i w:val="false"/>
          <w:color w:val="000000"/>
          <w:sz w:val="28"/>
        </w:rPr>
        <w:t xml:space="preserve">
      технических проблемах, обнаруженных в течение отчетного периода; </w:t>
      </w:r>
      <w:r>
        <w:br/>
      </w:r>
      <w:r>
        <w:rPr>
          <w:rFonts w:ascii="Times New Roman"/>
          <w:b w:val="false"/>
          <w:i w:val="false"/>
          <w:color w:val="000000"/>
          <w:sz w:val="28"/>
        </w:rPr>
        <w:t xml:space="preserve">
      выявленных несоответствиях внутренним процедурам Фонда (Организации); </w:t>
      </w:r>
      <w:r>
        <w:br/>
      </w:r>
      <w:r>
        <w:rPr>
          <w:rFonts w:ascii="Times New Roman"/>
          <w:b w:val="false"/>
          <w:i w:val="false"/>
          <w:color w:val="000000"/>
          <w:sz w:val="28"/>
        </w:rPr>
        <w:t xml:space="preserve">
      мерах, принятых для устранения и предотвращения повторного возникновения проблем и несоответствий; </w:t>
      </w:r>
      <w:r>
        <w:br/>
      </w:r>
      <w:r>
        <w:rPr>
          <w:rFonts w:ascii="Times New Roman"/>
          <w:b w:val="false"/>
          <w:i w:val="false"/>
          <w:color w:val="000000"/>
          <w:sz w:val="28"/>
        </w:rPr>
        <w:t xml:space="preserve">
      8) от подразделений Фонда (Организации), осуществляющих инвестиционную деятельность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 </w:t>
      </w:r>
      <w:r>
        <w:br/>
      </w:r>
      <w:r>
        <w:rPr>
          <w:rFonts w:ascii="Times New Roman"/>
          <w:b w:val="false"/>
          <w:i w:val="false"/>
          <w:color w:val="000000"/>
          <w:sz w:val="28"/>
        </w:rPr>
        <w:t xml:space="preserve">
      9) от всех подразделений Фонда (Организации): </w:t>
      </w:r>
      <w:r>
        <w:br/>
      </w:r>
      <w:r>
        <w:rPr>
          <w:rFonts w:ascii="Times New Roman"/>
          <w:b w:val="false"/>
          <w:i w:val="false"/>
          <w:color w:val="000000"/>
          <w:sz w:val="28"/>
        </w:rPr>
        <w:t xml:space="preserve">
      информацию о нарушении подразделениями либо работниками установленных требований законодательства Республики Казахстан и внутренних документов Фонда (Организации) – по мере возникновения информации; </w:t>
      </w:r>
      <w:r>
        <w:br/>
      </w:r>
      <w:r>
        <w:rPr>
          <w:rFonts w:ascii="Times New Roman"/>
          <w:b w:val="false"/>
          <w:i w:val="false"/>
          <w:color w:val="000000"/>
          <w:sz w:val="28"/>
        </w:rPr>
        <w:t>
      отчеты о самостоятельном выявлении нарушений и принятых мерах по устранению выявленных нарушений - по мере возникновения информации;</w:t>
      </w:r>
      <w:r>
        <w:br/>
      </w:r>
      <w:r>
        <w:rPr>
          <w:rFonts w:ascii="Times New Roman"/>
          <w:b w:val="false"/>
          <w:i w:val="false"/>
          <w:color w:val="000000"/>
          <w:sz w:val="28"/>
        </w:rPr>
        <w:t>
      10) от подразделения, осуществляющего инвестиционное управление пенсионными и (или) собственными активами Фонда (Организации), - отчет о принятых инвестиционных решениях - не реже, чем раз в полгода.</w:t>
      </w:r>
      <w:r>
        <w:br/>
      </w:r>
      <w:r>
        <w:rPr>
          <w:rFonts w:ascii="Times New Roman"/>
          <w:b w:val="false"/>
          <w:i w:val="false"/>
          <w:color w:val="000000"/>
          <w:sz w:val="28"/>
        </w:rPr>
        <w:t>
      </w:t>
      </w:r>
      <w:r>
        <w:rPr>
          <w:rFonts w:ascii="Times New Roman"/>
          <w:b w:val="false"/>
          <w:i w:val="false"/>
          <w:color w:val="ff0000"/>
          <w:sz w:val="28"/>
        </w:rPr>
        <w:t xml:space="preserve">Сноска. Пункт 79 с изменением, внесенным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80. Инвестиционный комитет Фонда (Организации) для осуществления своих функций получает: </w:t>
      </w:r>
      <w:r>
        <w:br/>
      </w:r>
      <w:r>
        <w:rPr>
          <w:rFonts w:ascii="Times New Roman"/>
          <w:b w:val="false"/>
          <w:i w:val="false"/>
          <w:color w:val="000000"/>
          <w:sz w:val="28"/>
        </w:rPr>
        <w:t>
      1) от подразделения, осуществляющего инвестиционное управление пенсионными и (или) собственными активами:</w:t>
      </w:r>
      <w:r>
        <w:br/>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r>
        <w:br/>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 не реже одного раз в квартал;</w:t>
      </w:r>
      <w:r>
        <w:br/>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предложения по оптимизации структуры портфеля - не реже одного раза в квартал;</w:t>
      </w:r>
      <w:r>
        <w:br/>
      </w:r>
      <w:r>
        <w:rPr>
          <w:rFonts w:ascii="Times New Roman"/>
          <w:b w:val="false"/>
          <w:i w:val="false"/>
          <w:color w:val="000000"/>
          <w:sz w:val="28"/>
        </w:rPr>
        <w:t>
      анализ, содержащий прогноз размеров пенсионных взносов и выплат, а также структуры обязательств Фонда по срокам их исполнения (на основе анализа структуры вкладчиков, включающего информацию о поле, возрасте вкладчиков, количестве и сумме пенсионных выплат с разбивкой по категориям вкладчиков) - не реже одного раза в квартал;</w:t>
      </w:r>
      <w:r>
        <w:br/>
      </w: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по собственным и пенсионным активам, с учетом изменения способности мобилизовать ликвидные активы, необходимые для погашения обязательств перед вкладчиками (получателями) и контрагентами,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r>
        <w:br/>
      </w:r>
      <w:r>
        <w:rPr>
          <w:rFonts w:ascii="Times New Roman"/>
          <w:b w:val="false"/>
          <w:i w:val="false"/>
          <w:color w:val="000000"/>
          <w:sz w:val="28"/>
        </w:rPr>
        <w:t>
      отчет об обнаружении негативной информации о деятельности контрпартнеров - по мере обнаружения;</w:t>
      </w:r>
      <w:r>
        <w:br/>
      </w:r>
      <w:r>
        <w:rPr>
          <w:rFonts w:ascii="Times New Roman"/>
          <w:b w:val="false"/>
          <w:i w:val="false"/>
          <w:color w:val="000000"/>
          <w:sz w:val="28"/>
        </w:rPr>
        <w:t>
      мониторинг финансового состояния эмитента, а также отчеты о появлении информации, которая оказывает влияние на стоимость финансовых инструментов эмитента или способность выполнять им свои обязательства - не реже одного раза в квартал;</w:t>
      </w:r>
      <w:r>
        <w:br/>
      </w:r>
      <w:r>
        <w:rPr>
          <w:rFonts w:ascii="Times New Roman"/>
          <w:b w:val="false"/>
          <w:i w:val="false"/>
          <w:color w:val="000000"/>
          <w:sz w:val="28"/>
        </w:rPr>
        <w:t xml:space="preserve">
      2) от подразделения, осуществляющего аналитические функции – рекомендации, и от подразделения, осуществляющего управление рисками – заключения, по установлению/пересмотру следующих лимитов по операциям с финансовыми инструментами: </w:t>
      </w:r>
      <w:r>
        <w:br/>
      </w:r>
      <w:r>
        <w:rPr>
          <w:rFonts w:ascii="Times New Roman"/>
          <w:b w:val="false"/>
          <w:i w:val="false"/>
          <w:color w:val="000000"/>
          <w:sz w:val="28"/>
        </w:rPr>
        <w:t xml:space="preserve">
      максимальный допустимый размер убытков (по стране, валюте, сектору экономики, видам финансового инструмента) определяемый в рамках совокупного максимального допустимого размера убытков по инвестиционному портфелю (за счет пенсионных активов или собственных активов Фонда (Организации) – не реже одного раза в квартал; </w:t>
      </w:r>
      <w:r>
        <w:br/>
      </w:r>
      <w:r>
        <w:rPr>
          <w:rFonts w:ascii="Times New Roman"/>
          <w:b w:val="false"/>
          <w:i w:val="false"/>
          <w:color w:val="000000"/>
          <w:sz w:val="28"/>
        </w:rPr>
        <w:t xml:space="preserve">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советом директоров, а также, лимитов, установленных нормативными правовыми актами уполномоченного органа – не реже одного раза в квартал; </w:t>
      </w:r>
      <w:r>
        <w:br/>
      </w:r>
      <w:r>
        <w:rPr>
          <w:rFonts w:ascii="Times New Roman"/>
          <w:b w:val="false"/>
          <w:i w:val="false"/>
          <w:color w:val="000000"/>
          <w:sz w:val="28"/>
        </w:rPr>
        <w:t xml:space="preserve">
      лимиты "stop – loss" и "take - profit" – не реже одного раза в месяц; </w:t>
      </w:r>
      <w:r>
        <w:br/>
      </w:r>
      <w:r>
        <w:rPr>
          <w:rFonts w:ascii="Times New Roman"/>
          <w:b w:val="false"/>
          <w:i w:val="false"/>
          <w:color w:val="000000"/>
          <w:sz w:val="28"/>
        </w:rPr>
        <w:t>
      лимиты гэп-позиций на основании анализа, проводимого подразделением, осуществляющим управление рисками, - не реже одного раза в квартал;</w:t>
      </w:r>
      <w:r>
        <w:br/>
      </w:r>
      <w:r>
        <w:rPr>
          <w:rFonts w:ascii="Times New Roman"/>
          <w:b w:val="false"/>
          <w:i w:val="false"/>
          <w:color w:val="000000"/>
          <w:sz w:val="28"/>
        </w:rPr>
        <w:t>
      3) от подразделения Фонда (Организации), осуществляющего управление рисками:</w:t>
      </w:r>
      <w:r>
        <w:br/>
      </w:r>
      <w:r>
        <w:rPr>
          <w:rFonts w:ascii="Times New Roman"/>
          <w:b w:val="false"/>
          <w:i w:val="false"/>
          <w:color w:val="000000"/>
          <w:sz w:val="28"/>
        </w:rPr>
        <w:t>
      информацию о соблюдении (использовании) установленных лимитов - на еженедельной основе по форме, установленной внутренними документами Фонда (Организации);</w:t>
      </w:r>
      <w:r>
        <w:br/>
      </w:r>
      <w:r>
        <w:rPr>
          <w:rFonts w:ascii="Times New Roman"/>
          <w:b w:val="false"/>
          <w:i w:val="false"/>
          <w:color w:val="000000"/>
          <w:sz w:val="28"/>
        </w:rPr>
        <w:t>
      информацию о соблюдении (использовании) максимальных допустимых размеров убытков по пенсионным и собственным активам - на еженедельной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информацию о соблюдении (использовании) установленных лимитов "stop-loss" и "take-profit" по пенсионным и собственным активам - на еженедельной основе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пенсионным активам и (или) собственным активам - на ежемесячной основе;</w:t>
      </w:r>
      <w:r>
        <w:br/>
      </w:r>
      <w:r>
        <w:rPr>
          <w:rFonts w:ascii="Times New Roman"/>
          <w:b w:val="false"/>
          <w:i w:val="false"/>
          <w:color w:val="000000"/>
          <w:sz w:val="28"/>
        </w:rPr>
        <w:t>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и бэк-тестингов - каждые два месяца;</w:t>
      </w:r>
      <w:r>
        <w:br/>
      </w:r>
      <w:r>
        <w:rPr>
          <w:rFonts w:ascii="Times New Roman"/>
          <w:b w:val="false"/>
          <w:i w:val="false"/>
          <w:color w:val="000000"/>
          <w:sz w:val="28"/>
        </w:rPr>
        <w:t>
      отчет об обнаружении негативной информации о деятельности контрпартнеров - по мере обнаружения;</w:t>
      </w:r>
      <w:r>
        <w:br/>
      </w:r>
      <w:r>
        <w:rPr>
          <w:rFonts w:ascii="Times New Roman"/>
          <w:b w:val="false"/>
          <w:i w:val="false"/>
          <w:color w:val="000000"/>
          <w:sz w:val="28"/>
        </w:rPr>
        <w:t xml:space="preserve">
      4) от подразделения, осуществляющего заключение сделок с финансовыми инструментами – информацию об исполнении инвестиционных решений – на еженедельной основе. </w:t>
      </w:r>
      <w:r>
        <w:br/>
      </w:r>
      <w:r>
        <w:rPr>
          <w:rFonts w:ascii="Times New Roman"/>
          <w:b w:val="false"/>
          <w:i w:val="false"/>
          <w:color w:val="000000"/>
          <w:sz w:val="28"/>
        </w:rPr>
        <w:t>
      </w:t>
      </w:r>
      <w:r>
        <w:rPr>
          <w:rFonts w:ascii="Times New Roman"/>
          <w:b w:val="false"/>
          <w:i w:val="false"/>
          <w:color w:val="ff0000"/>
          <w:sz w:val="28"/>
        </w:rPr>
        <w:t xml:space="preserve">Сноска. Пункт 80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81. Служба внутреннего аудита получает от всех подразделений, филиалов, представительств, инвестиционного комитета и работников Фонда (Организации) любые документы и информацию, необходимую для осуществления своих функций, в сроки, указанные в запросах службы внутреннего аудита. </w:t>
      </w:r>
      <w:r>
        <w:br/>
      </w:r>
      <w:r>
        <w:rPr>
          <w:rFonts w:ascii="Times New Roman"/>
          <w:b w:val="false"/>
          <w:i w:val="false"/>
          <w:color w:val="000000"/>
          <w:sz w:val="28"/>
        </w:rPr>
        <w:t>
</w:t>
      </w:r>
      <w:r>
        <w:rPr>
          <w:rFonts w:ascii="Times New Roman"/>
          <w:b w:val="false"/>
          <w:i w:val="false"/>
          <w:color w:val="000000"/>
          <w:sz w:val="28"/>
        </w:rPr>
        <w:t xml:space="preserve">
      82. Подразделение Фонда (Организации), осуществляющее управление рисками, для осуществления своих функций получает от всех подразделений и работников Фонда (Организации)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 </w:t>
      </w:r>
      <w:r>
        <w:br/>
      </w:r>
      <w:r>
        <w:rPr>
          <w:rFonts w:ascii="Times New Roman"/>
          <w:b w:val="false"/>
          <w:i w:val="false"/>
          <w:color w:val="000000"/>
          <w:sz w:val="28"/>
        </w:rPr>
        <w:t>
      1) от подразделения, ответственного за анализ структуры портфеля инвестиций:</w:t>
      </w:r>
      <w:r>
        <w:br/>
      </w:r>
      <w:r>
        <w:rPr>
          <w:rFonts w:ascii="Times New Roman"/>
          <w:b w:val="false"/>
          <w:i w:val="false"/>
          <w:color w:val="000000"/>
          <w:sz w:val="28"/>
        </w:rPr>
        <w:t>
      информацию о соблюдении (использовании) установленных лимитов - на ежедневной основе по форме, установленной внутренними документами Фонда (Организации);</w:t>
      </w:r>
      <w:r>
        <w:br/>
      </w:r>
      <w:r>
        <w:rPr>
          <w:rFonts w:ascii="Times New Roman"/>
          <w:b w:val="false"/>
          <w:i w:val="false"/>
          <w:color w:val="000000"/>
          <w:sz w:val="28"/>
        </w:rPr>
        <w:t>
      информацию о соблюдении (использовании) максимальных допустимых размеров убытков по пенсионным и собственным активам - на еженедельной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информацию о соблюдении (использовании) установленных лимитов "stop-loss" и "take-profit" по пенсионным и собственным активам - на еженедельной основе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xml:space="preserve">
      2) от подразделения Фонда (Организации), осуществляющего инвестиционное управление пенсионными и (или) собственными активами: </w:t>
      </w:r>
      <w:r>
        <w:br/>
      </w:r>
      <w:r>
        <w:rPr>
          <w:rFonts w:ascii="Times New Roman"/>
          <w:b w:val="false"/>
          <w:i w:val="false"/>
          <w:color w:val="000000"/>
          <w:sz w:val="28"/>
        </w:rPr>
        <w:t xml:space="preserve">
      сводный отчет о результатах анализа информации, используемой при осуществлении инвестиционной деятельности Фонда (Организации) – не реже одного раза в квартал; </w:t>
      </w:r>
      <w:r>
        <w:br/>
      </w:r>
      <w:r>
        <w:rPr>
          <w:rFonts w:ascii="Times New Roman"/>
          <w:b w:val="false"/>
          <w:i w:val="false"/>
          <w:color w:val="000000"/>
          <w:sz w:val="28"/>
        </w:rPr>
        <w:t>
      сведения, необходимые для подготовки заключения о подверженности кредитному, процентному, валютному и фондовому рискам инвестиционного портфеля по пенсионным активам и (или) собственным активам;</w:t>
      </w:r>
      <w:r>
        <w:br/>
      </w:r>
      <w:r>
        <w:rPr>
          <w:rFonts w:ascii="Times New Roman"/>
          <w:b w:val="false"/>
          <w:i w:val="false"/>
          <w:color w:val="000000"/>
          <w:sz w:val="28"/>
        </w:rPr>
        <w:t xml:space="preserve">
      3) от подразделения Фонда (Организации), ответственного за учет финансовых инструментов, приобретенных за счет пенсионных и (или) собственных активов: </w:t>
      </w:r>
      <w:r>
        <w:br/>
      </w:r>
      <w:r>
        <w:rPr>
          <w:rFonts w:ascii="Times New Roman"/>
          <w:b w:val="false"/>
          <w:i w:val="false"/>
          <w:color w:val="000000"/>
          <w:sz w:val="28"/>
        </w:rPr>
        <w:t xml:space="preserve">
      ежеквартальную финансовую отчетность; </w:t>
      </w:r>
      <w:r>
        <w:br/>
      </w:r>
      <w:r>
        <w:rPr>
          <w:rFonts w:ascii="Times New Roman"/>
          <w:b w:val="false"/>
          <w:i w:val="false"/>
          <w:color w:val="000000"/>
          <w:sz w:val="28"/>
        </w:rPr>
        <w:t>
      информацию о структуре портфеля - на ежедневной основе;</w:t>
      </w:r>
      <w:r>
        <w:br/>
      </w:r>
      <w:r>
        <w:rPr>
          <w:rFonts w:ascii="Times New Roman"/>
          <w:b w:val="false"/>
          <w:i w:val="false"/>
          <w:color w:val="000000"/>
          <w:sz w:val="28"/>
        </w:rPr>
        <w:t xml:space="preserve">
      ежедневный расчет доходов и убытков, полученных в результате инвестиционной деятельности за счет пенсионных и (или) собственных активов. </w:t>
      </w:r>
      <w:r>
        <w:br/>
      </w:r>
      <w:r>
        <w:rPr>
          <w:rFonts w:ascii="Times New Roman"/>
          <w:b w:val="false"/>
          <w:i w:val="false"/>
          <w:color w:val="000000"/>
          <w:sz w:val="28"/>
        </w:rPr>
        <w:t>
      </w:t>
      </w:r>
      <w:r>
        <w:rPr>
          <w:rFonts w:ascii="Times New Roman"/>
          <w:b w:val="false"/>
          <w:i w:val="false"/>
          <w:color w:val="ff0000"/>
          <w:sz w:val="28"/>
        </w:rPr>
        <w:t xml:space="preserve">Сноска. Пункт 82 с изменениями, внесенными постановлением Правления АФН РК от 04.10.2010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83. Информационный обмен между подразделениями Фонда (Организации) осуществляется в соответствии с внутренними документами Фонда (Организации). </w:t>
      </w:r>
      <w:r>
        <w:br/>
      </w:r>
      <w:r>
        <w:rPr>
          <w:rFonts w:ascii="Times New Roman"/>
          <w:b w:val="false"/>
          <w:i w:val="false"/>
          <w:color w:val="000000"/>
          <w:sz w:val="28"/>
        </w:rPr>
        <w:t>
</w:t>
      </w:r>
      <w:r>
        <w:rPr>
          <w:rFonts w:ascii="Times New Roman"/>
          <w:b w:val="false"/>
          <w:i w:val="false"/>
          <w:color w:val="000000"/>
          <w:sz w:val="28"/>
        </w:rPr>
        <w:t xml:space="preserve">
      84. Информационный обмен между Фондом и Организацией, которой Фонд передал пенсионные и (или) собственные активы Фонда в инвестиционное управление, осуществляется в соответствии с договором по инвестиционному управлению пенсионными и (или) собственными активами. </w:t>
      </w:r>
    </w:p>
    <w:bookmarkEnd w:id="21"/>
    <w:bookmarkStart w:name="z132" w:id="22"/>
    <w:p>
      <w:pPr>
        <w:spacing w:after="0"/>
        <w:ind w:left="0"/>
        <w:jc w:val="left"/>
      </w:pPr>
      <w:r>
        <w:rPr>
          <w:rFonts w:ascii="Times New Roman"/>
          <w:b/>
          <w:i w:val="false"/>
          <w:color w:val="000000"/>
        </w:rPr>
        <w:t xml:space="preserve"> 
Глава 10. Требования к программно-техническому обеспечению, </w:t>
      </w:r>
      <w:r>
        <w:br/>
      </w:r>
      <w:r>
        <w:rPr>
          <w:rFonts w:ascii="Times New Roman"/>
          <w:b/>
          <w:i w:val="false"/>
          <w:color w:val="000000"/>
        </w:rPr>
        <w:t xml:space="preserve">
используемому для поддержания системы управления рисками </w:t>
      </w:r>
    </w:p>
    <w:bookmarkEnd w:id="22"/>
    <w:bookmarkStart w:name="z133" w:id="23"/>
    <w:p>
      <w:pPr>
        <w:spacing w:after="0"/>
        <w:ind w:left="0"/>
        <w:jc w:val="both"/>
      </w:pPr>
      <w:r>
        <w:rPr>
          <w:rFonts w:ascii="Times New Roman"/>
          <w:b w:val="false"/>
          <w:i w:val="false"/>
          <w:color w:val="000000"/>
          <w:sz w:val="28"/>
        </w:rPr>
        <w:t xml:space="preserve">
      85. Автоматизации подлежат следующие виды деятельности Фонда (Организации): </w:t>
      </w:r>
      <w:r>
        <w:br/>
      </w:r>
      <w:r>
        <w:rPr>
          <w:rFonts w:ascii="Times New Roman"/>
          <w:b w:val="false"/>
          <w:i w:val="false"/>
          <w:color w:val="000000"/>
          <w:sz w:val="28"/>
        </w:rPr>
        <w:t xml:space="preserve">
      1) бухгалтерский учет и составление финансовой отчетности; </w:t>
      </w:r>
      <w:r>
        <w:br/>
      </w:r>
      <w:r>
        <w:rPr>
          <w:rFonts w:ascii="Times New Roman"/>
          <w:b w:val="false"/>
          <w:i w:val="false"/>
          <w:color w:val="000000"/>
          <w:sz w:val="28"/>
        </w:rPr>
        <w:t xml:space="preserve">
      2) управление инвестиционным портфелем за счет пенсионных активов (проведение операций с финансовыми инструментами, осуществление расчетов по проведенным операциям, контроль за лимитами инвестирования, ведение журналов системы внутреннего учета); </w:t>
      </w:r>
      <w:r>
        <w:br/>
      </w:r>
      <w:r>
        <w:rPr>
          <w:rFonts w:ascii="Times New Roman"/>
          <w:b w:val="false"/>
          <w:i w:val="false"/>
          <w:color w:val="000000"/>
          <w:sz w:val="28"/>
        </w:rPr>
        <w:t xml:space="preserve">
      3) сбор информации, необходимой для функционирования системы управления рисками; </w:t>
      </w:r>
      <w:r>
        <w:br/>
      </w:r>
      <w:r>
        <w:rPr>
          <w:rFonts w:ascii="Times New Roman"/>
          <w:b w:val="false"/>
          <w:i w:val="false"/>
          <w:color w:val="000000"/>
          <w:sz w:val="28"/>
        </w:rPr>
        <w:t xml:space="preserve">
      4) управление рисками, которым подвержен инвестиционный портфель, с обеспечением возможности отслеживать риски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86. Подразделение информационного обеспечения Фонда (Организации)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 </w:t>
      </w:r>
      <w:r>
        <w:br/>
      </w:r>
      <w:r>
        <w:rPr>
          <w:rFonts w:ascii="Times New Roman"/>
          <w:b w:val="false"/>
          <w:i w:val="false"/>
          <w:color w:val="000000"/>
          <w:sz w:val="28"/>
        </w:rPr>
        <w:t xml:space="preserve">
      1) заполнение листов учета технических проблем и ведения по ним отчетности; </w:t>
      </w:r>
      <w:r>
        <w:br/>
      </w:r>
      <w:r>
        <w:rPr>
          <w:rFonts w:ascii="Times New Roman"/>
          <w:b w:val="false"/>
          <w:i w:val="false"/>
          <w:color w:val="000000"/>
          <w:sz w:val="28"/>
        </w:rPr>
        <w:t xml:space="preserve">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 </w:t>
      </w:r>
      <w:r>
        <w:br/>
      </w:r>
      <w:r>
        <w:rPr>
          <w:rFonts w:ascii="Times New Roman"/>
          <w:b w:val="false"/>
          <w:i w:val="false"/>
          <w:color w:val="000000"/>
          <w:sz w:val="28"/>
        </w:rPr>
        <w:t xml:space="preserve">
      3) проведение не менее, чем раз в квартал, проверок технических комплексов, обеспечивающих функционирование автоматизированной базы данных; </w:t>
      </w:r>
      <w:r>
        <w:br/>
      </w:r>
      <w:r>
        <w:rPr>
          <w:rFonts w:ascii="Times New Roman"/>
          <w:b w:val="false"/>
          <w:i w:val="false"/>
          <w:color w:val="000000"/>
          <w:sz w:val="28"/>
        </w:rPr>
        <w:t xml:space="preserve">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 </w:t>
      </w:r>
    </w:p>
    <w:bookmarkEnd w:id="23"/>
    <w:bookmarkStart w:name="z135"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требованиях по   </w:t>
      </w:r>
      <w:r>
        <w:br/>
      </w:r>
      <w:r>
        <w:rPr>
          <w:rFonts w:ascii="Times New Roman"/>
          <w:b w:val="false"/>
          <w:i w:val="false"/>
          <w:color w:val="000000"/>
          <w:sz w:val="28"/>
        </w:rPr>
        <w:t xml:space="preserve">
наличию системы управления      </w:t>
      </w:r>
      <w:r>
        <w:br/>
      </w:r>
      <w:r>
        <w:rPr>
          <w:rFonts w:ascii="Times New Roman"/>
          <w:b w:val="false"/>
          <w:i w:val="false"/>
          <w:color w:val="000000"/>
          <w:sz w:val="28"/>
        </w:rPr>
        <w:t xml:space="preserve">
рисками для накопительных       </w:t>
      </w:r>
      <w:r>
        <w:br/>
      </w:r>
      <w:r>
        <w:rPr>
          <w:rFonts w:ascii="Times New Roman"/>
          <w:b w:val="false"/>
          <w:i w:val="false"/>
          <w:color w:val="000000"/>
          <w:sz w:val="28"/>
        </w:rPr>
        <w:t xml:space="preserve">
пенсионных фондов и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24"/>
    <w:bookmarkStart w:name="z138" w:id="25"/>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 по оценке выполнения требований </w:t>
      </w:r>
      <w:r>
        <w:br/>
      </w:r>
      <w:r>
        <w:rPr>
          <w:rFonts w:ascii="Times New Roman"/>
          <w:b w:val="false"/>
          <w:i w:val="false"/>
          <w:color w:val="000000"/>
          <w:sz w:val="28"/>
        </w:rPr>
        <w:t xml:space="preserve">
                       </w:t>
      </w:r>
      <w:r>
        <w:rPr>
          <w:rFonts w:ascii="Times New Roman"/>
          <w:b/>
          <w:i w:val="false"/>
          <w:color w:val="000000"/>
          <w:sz w:val="28"/>
        </w:rPr>
        <w:t xml:space="preserve">к системам управления рисками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(наименование организации) </w:t>
      </w:r>
      <w:r>
        <w:br/>
      </w:r>
      <w:r>
        <w:rPr>
          <w:rFonts w:ascii="Times New Roman"/>
          <w:b w:val="false"/>
          <w:i w:val="false"/>
          <w:color w:val="000000"/>
          <w:sz w:val="28"/>
        </w:rPr>
        <w:t xml:space="preserve">
                                </w:t>
      </w:r>
      <w:r>
        <w:rPr>
          <w:rFonts w:ascii="Times New Roman"/>
          <w:b/>
          <w:i w:val="false"/>
          <w:color w:val="000000"/>
          <w:sz w:val="28"/>
        </w:rPr>
        <w:t xml:space="preserve">за "_____" год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731"/>
        <w:gridCol w:w="2482"/>
        <w:gridCol w:w="2110"/>
        <w:gridCol w:w="2855"/>
        <w:gridCol w:w="1490"/>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w:t>
            </w:r>
            <w:r>
              <w:br/>
            </w:r>
            <w:r>
              <w:rPr>
                <w:rFonts w:ascii="Times New Roman"/>
                <w:b w:val="false"/>
                <w:i w:val="false"/>
                <w:color w:val="000000"/>
                <w:sz w:val="20"/>
              </w:rPr>
              <w:t xml:space="preserve">
соответствую- </w:t>
            </w:r>
            <w:r>
              <w:br/>
            </w:r>
            <w:r>
              <w:rPr>
                <w:rFonts w:ascii="Times New Roman"/>
                <w:b w:val="false"/>
                <w:i w:val="false"/>
                <w:color w:val="000000"/>
                <w:sz w:val="20"/>
              </w:rPr>
              <w:t xml:space="preserve">
щего абзаца, </w:t>
            </w:r>
            <w:r>
              <w:br/>
            </w:r>
            <w:r>
              <w:rPr>
                <w:rFonts w:ascii="Times New Roman"/>
                <w:b w:val="false"/>
                <w:i w:val="false"/>
                <w:color w:val="000000"/>
                <w:sz w:val="20"/>
              </w:rPr>
              <w:t xml:space="preserve">
подпункта,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Инструкции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требованию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Выявленные </w:t>
            </w:r>
            <w:r>
              <w:br/>
            </w:r>
            <w:r>
              <w:rPr>
                <w:rFonts w:ascii="Times New Roman"/>
                <w:b w:val="false"/>
                <w:i w:val="false"/>
                <w:color w:val="000000"/>
                <w:sz w:val="20"/>
              </w:rPr>
              <w:t xml:space="preserve">
недостатки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устранению </w:t>
            </w:r>
            <w:r>
              <w:br/>
            </w:r>
            <w:r>
              <w:rPr>
                <w:rFonts w:ascii="Times New Roman"/>
                <w:b w:val="false"/>
                <w:i w:val="false"/>
                <w:color w:val="000000"/>
                <w:sz w:val="20"/>
              </w:rPr>
              <w:t xml:space="preserve">
недостатков, </w:t>
            </w:r>
            <w:r>
              <w:br/>
            </w:r>
            <w:r>
              <w:rPr>
                <w:rFonts w:ascii="Times New Roman"/>
                <w:b w:val="false"/>
                <w:i w:val="false"/>
                <w:color w:val="000000"/>
                <w:sz w:val="20"/>
              </w:rPr>
              <w:t xml:space="preserve">
ответственные </w:t>
            </w:r>
            <w:r>
              <w:br/>
            </w:r>
            <w:r>
              <w:rPr>
                <w:rFonts w:ascii="Times New Roman"/>
                <w:b w:val="false"/>
                <w:i w:val="false"/>
                <w:color w:val="000000"/>
                <w:sz w:val="20"/>
              </w:rPr>
              <w:t xml:space="preserve">
лица и сроки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мероприятий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Оценка соответствия требованиям к системам управления рисками: ___ </w:t>
      </w:r>
    </w:p>
    <w:p>
      <w:pPr>
        <w:spacing w:after="0"/>
        <w:ind w:left="0"/>
        <w:jc w:val="both"/>
      </w:pPr>
      <w:r>
        <w:rPr>
          <w:rFonts w:ascii="Times New Roman"/>
          <w:b w:val="false"/>
          <w:i w:val="false"/>
          <w:color w:val="000000"/>
          <w:sz w:val="28"/>
        </w:rPr>
        <w:t xml:space="preserve">      Пояснения к заполнению таблицы: </w:t>
      </w:r>
      <w:r>
        <w:br/>
      </w:r>
      <w:r>
        <w:rPr>
          <w:rFonts w:ascii="Times New Roman"/>
          <w:b w:val="false"/>
          <w:i w:val="false"/>
          <w:color w:val="000000"/>
          <w:sz w:val="28"/>
        </w:rPr>
        <w:t xml:space="preserve">
       Оценку соответствия требованиям к системам управления рисками необходимо осуществлять по трехбалльной системе следующих критериев: соответствует, частично соответствует, не соответствует. </w:t>
      </w:r>
      <w:r>
        <w:br/>
      </w:r>
      <w:r>
        <w:rPr>
          <w:rFonts w:ascii="Times New Roman"/>
          <w:b w:val="false"/>
          <w:i w:val="false"/>
          <w:color w:val="000000"/>
          <w:sz w:val="28"/>
        </w:rPr>
        <w:t xml:space="preserve">
      1. Оценка "соответствует" выносится при выполнении организацией критерия требования к системам управления рисками без каких-либо значительных недостатков. </w:t>
      </w:r>
      <w:r>
        <w:br/>
      </w:r>
      <w:r>
        <w:rPr>
          <w:rFonts w:ascii="Times New Roman"/>
          <w:b w:val="false"/>
          <w:i w:val="false"/>
          <w:color w:val="000000"/>
          <w:sz w:val="28"/>
        </w:rPr>
        <w:t xml:space="preserve">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организации в достижении соблюдения конкретного критерия требования к системам управления рисками. </w:t>
      </w:r>
      <w:r>
        <w:br/>
      </w:r>
      <w:r>
        <w:rPr>
          <w:rFonts w:ascii="Times New Roman"/>
          <w:b w:val="false"/>
          <w:i w:val="false"/>
          <w:color w:val="000000"/>
          <w:sz w:val="28"/>
        </w:rPr>
        <w:t xml:space="preserve">
      3. Оценка "не соответствует" выносится при невыполнении организацией критерия требований к системам управления рисками. </w:t>
      </w:r>
      <w:r>
        <w:br/>
      </w:r>
      <w:r>
        <w:rPr>
          <w:rFonts w:ascii="Times New Roman"/>
          <w:b w:val="false"/>
          <w:i w:val="false"/>
          <w:color w:val="000000"/>
          <w:sz w:val="28"/>
        </w:rPr>
        <w:t xml:space="preserve">
      4. В случае, если отдельные требования к системам управления рисками не могут быть применены в отношении организации, оценка соответствия данному критерию требования не осуществляется и отмечается соответствующей записью "не применимо". </w:t>
      </w:r>
    </w:p>
    <w:p>
      <w:pPr>
        <w:spacing w:after="0"/>
        <w:ind w:left="0"/>
        <w:jc w:val="both"/>
      </w:pPr>
      <w:r>
        <w:rPr>
          <w:rFonts w:ascii="Times New Roman"/>
          <w:b w:val="false"/>
          <w:i/>
          <w:color w:val="000000"/>
          <w:sz w:val="28"/>
        </w:rPr>
        <w:t xml:space="preserve">      Первый руководитель организации (либо лицо, его замещающее) </w:t>
      </w:r>
      <w:r>
        <w:br/>
      </w:r>
      <w:r>
        <w:rPr>
          <w:rFonts w:ascii="Times New Roman"/>
          <w:b w:val="false"/>
          <w:i w:val="false"/>
          <w:color w:val="000000"/>
          <w:sz w:val="28"/>
        </w:rPr>
        <w:t xml:space="preserve">
       </w:t>
      </w:r>
      <w:r>
        <w:rPr>
          <w:rFonts w:ascii="Times New Roman"/>
          <w:b w:val="false"/>
          <w:i/>
          <w:color w:val="000000"/>
          <w:sz w:val="28"/>
        </w:rPr>
        <w:t xml:space="preserve">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p>
      <w:pPr>
        <w:spacing w:after="0"/>
        <w:ind w:left="0"/>
        <w:jc w:val="both"/>
      </w:pPr>
      <w:r>
        <w:rPr>
          <w:rFonts w:ascii="Times New Roman"/>
          <w:b w:val="false"/>
          <w:i/>
          <w:color w:val="000000"/>
          <w:sz w:val="28"/>
        </w:rPr>
        <w:t xml:space="preserve">      Руководитель подразделения, осуществляющего управление рисками </w:t>
      </w:r>
      <w:r>
        <w:br/>
      </w:r>
      <w:r>
        <w:rPr>
          <w:rFonts w:ascii="Times New Roman"/>
          <w:b w:val="false"/>
          <w:i w:val="false"/>
          <w:color w:val="000000"/>
          <w:sz w:val="28"/>
        </w:rPr>
        <w:t xml:space="preserve">
       </w:t>
      </w:r>
      <w:r>
        <w:rPr>
          <w:rFonts w:ascii="Times New Roman"/>
          <w:b w:val="false"/>
          <w:i/>
          <w:color w:val="000000"/>
          <w:sz w:val="28"/>
        </w:rPr>
        <w:t xml:space="preserve">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p>
      <w:pPr>
        <w:spacing w:after="0"/>
        <w:ind w:left="0"/>
        <w:jc w:val="both"/>
      </w:pPr>
      <w:r>
        <w:rPr>
          <w:rFonts w:ascii="Times New Roman"/>
          <w:b w:val="false"/>
          <w:i/>
          <w:color w:val="000000"/>
          <w:sz w:val="28"/>
        </w:rPr>
        <w:t xml:space="preserve">      Руководитель службы внутреннего аудита </w:t>
      </w:r>
      <w:r>
        <w:br/>
      </w:r>
      <w:r>
        <w:rPr>
          <w:rFonts w:ascii="Times New Roman"/>
          <w:b w:val="false"/>
          <w:i w:val="false"/>
          <w:color w:val="000000"/>
          <w:sz w:val="28"/>
        </w:rPr>
        <w:t xml:space="preserve">
       </w:t>
      </w:r>
      <w:r>
        <w:rPr>
          <w:rFonts w:ascii="Times New Roman"/>
          <w:b w:val="false"/>
          <w:i/>
          <w:color w:val="000000"/>
          <w:sz w:val="28"/>
        </w:rPr>
        <w:t xml:space="preserve">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bookmarkStart w:name="z136"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требованиях по   </w:t>
      </w:r>
      <w:r>
        <w:br/>
      </w:r>
      <w:r>
        <w:rPr>
          <w:rFonts w:ascii="Times New Roman"/>
          <w:b w:val="false"/>
          <w:i w:val="false"/>
          <w:color w:val="000000"/>
          <w:sz w:val="28"/>
        </w:rPr>
        <w:t xml:space="preserve">
наличию системы управления      </w:t>
      </w:r>
      <w:r>
        <w:br/>
      </w:r>
      <w:r>
        <w:rPr>
          <w:rFonts w:ascii="Times New Roman"/>
          <w:b w:val="false"/>
          <w:i w:val="false"/>
          <w:color w:val="000000"/>
          <w:sz w:val="28"/>
        </w:rPr>
        <w:t xml:space="preserve">
рисками для накопительных       </w:t>
      </w:r>
      <w:r>
        <w:br/>
      </w:r>
      <w:r>
        <w:rPr>
          <w:rFonts w:ascii="Times New Roman"/>
          <w:b w:val="false"/>
          <w:i w:val="false"/>
          <w:color w:val="000000"/>
          <w:sz w:val="28"/>
        </w:rPr>
        <w:t xml:space="preserve">
пенсионных фондов и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26"/>
    <w:bookmarkStart w:name="z140" w:id="27"/>
    <w:p>
      <w:pPr>
        <w:spacing w:after="0"/>
        <w:ind w:left="0"/>
        <w:jc w:val="both"/>
      </w:pPr>
      <w:r>
        <w:rPr>
          <w:rFonts w:ascii="Times New Roman"/>
          <w:b w:val="false"/>
          <w:i w:val="false"/>
          <w:color w:val="000000"/>
          <w:sz w:val="28"/>
        </w:rPr>
        <w:t xml:space="preserve">
форма 1      </w:t>
      </w:r>
    </w:p>
    <w:bookmarkEnd w:id="27"/>
    <w:bookmarkStart w:name="z139" w:id="28"/>
    <w:p>
      <w:pPr>
        <w:spacing w:after="0"/>
        <w:ind w:left="0"/>
        <w:jc w:val="both"/>
      </w:pPr>
      <w:r>
        <w:rPr>
          <w:rFonts w:ascii="Times New Roman"/>
          <w:b w:val="false"/>
          <w:i w:val="false"/>
          <w:color w:val="000000"/>
          <w:sz w:val="28"/>
        </w:rPr>
        <w:t>               
</w:t>
      </w:r>
      <w:r>
        <w:rPr>
          <w:rFonts w:ascii="Times New Roman"/>
          <w:b/>
          <w:i w:val="false"/>
          <w:color w:val="000000"/>
          <w:sz w:val="28"/>
        </w:rPr>
        <w:t xml:space="preserve">Стресс-тестинг по ценовому риску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2411"/>
        <w:gridCol w:w="912"/>
        <w:gridCol w:w="913"/>
        <w:gridCol w:w="1084"/>
        <w:gridCol w:w="1127"/>
        <w:gridCol w:w="1384"/>
        <w:gridCol w:w="2691"/>
      </w:tblGrid>
      <w:tr>
        <w:trPr>
          <w:trHeight w:val="30" w:hRule="atLeast"/>
        </w:trPr>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ментов </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финансо-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(в тенге)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Сценарий снижения текущей </w:t>
            </w:r>
            <w:r>
              <w:br/>
            </w:r>
            <w:r>
              <w:rPr>
                <w:rFonts w:ascii="Times New Roman"/>
                <w:b w:val="false"/>
                <w:i w:val="false"/>
                <w:color w:val="000000"/>
                <w:sz w:val="20"/>
              </w:rPr>
              <w:t xml:space="preserve">
стоимости финансового </w:t>
            </w:r>
            <w:r>
              <w:br/>
            </w:r>
            <w:r>
              <w:rPr>
                <w:rFonts w:ascii="Times New Roman"/>
                <w:b w:val="false"/>
                <w:i w:val="false"/>
                <w:color w:val="000000"/>
                <w:sz w:val="20"/>
              </w:rPr>
              <w:t xml:space="preserve">
инструмента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по </w:t>
            </w:r>
            <w:r>
              <w:br/>
            </w:r>
            <w:r>
              <w:rPr>
                <w:rFonts w:ascii="Times New Roman"/>
                <w:b w:val="false"/>
                <w:i w:val="false"/>
                <w:color w:val="000000"/>
                <w:sz w:val="20"/>
              </w:rPr>
              <w:t xml:space="preserve">
выбранному </w:t>
            </w:r>
            <w:r>
              <w:br/>
            </w:r>
            <w:r>
              <w:rPr>
                <w:rFonts w:ascii="Times New Roman"/>
                <w:b w:val="false"/>
                <w:i w:val="false"/>
                <w:color w:val="000000"/>
                <w:sz w:val="20"/>
              </w:rPr>
              <w:t xml:space="preserve">
сценарию </w:t>
            </w:r>
            <w:r>
              <w:br/>
            </w:r>
            <w:r>
              <w:rPr>
                <w:rFonts w:ascii="Times New Roman"/>
                <w:b w:val="false"/>
                <w:i w:val="false"/>
                <w:color w:val="000000"/>
                <w:sz w:val="20"/>
              </w:rPr>
              <w:t xml:space="preserve">
(в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10%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30%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30% </w:t>
            </w:r>
          </w:p>
        </w:tc>
        <w:tc>
          <w:tcPr>
            <w:tcW w:w="0" w:type="auto"/>
            <w:vMerge/>
            <w:tcBorders>
              <w:top w:val="nil"/>
              <w:left w:val="single" w:color="cfcfcf" w:sz="5"/>
              <w:bottom w:val="single" w:color="cfcfcf" w:sz="5"/>
              <w:right w:val="single" w:color="cfcfcf" w:sz="5"/>
            </w:tcBorders>
          </w:tcP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убыток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графе 1 указываются финансовые инструменты, по которым имеется рыночная цена. При этом финансовые инструменты группируются по видам финансовых инструментов и по сектору экономики. </w:t>
      </w:r>
      <w:r>
        <w:br/>
      </w:r>
      <w:r>
        <w:rPr>
          <w:rFonts w:ascii="Times New Roman"/>
          <w:b w:val="false"/>
          <w:i w:val="false"/>
          <w:color w:val="000000"/>
          <w:sz w:val="28"/>
        </w:rPr>
        <w:t xml:space="preserve">
      В графах 3, 4, 5, 6, 7 по каждой категории финансового инструмента выбирается только один предполагаемый сценарий. </w:t>
      </w:r>
    </w:p>
    <w:p>
      <w:pPr>
        <w:spacing w:after="0"/>
        <w:ind w:left="0"/>
        <w:jc w:val="both"/>
      </w:pPr>
      <w:r>
        <w:rPr>
          <w:rFonts w:ascii="Times New Roman"/>
          <w:b w:val="false"/>
          <w:i w:val="false"/>
          <w:color w:val="000000"/>
          <w:sz w:val="28"/>
        </w:rPr>
        <w:t xml:space="preserve">      Краткое обоснование выбранного сценария: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Первый руководитель Фонда (Организации) </w:t>
      </w:r>
      <w:r>
        <w:br/>
      </w:r>
      <w:r>
        <w:rPr>
          <w:rFonts w:ascii="Times New Roman"/>
          <w:b w:val="false"/>
          <w:i w:val="false"/>
          <w:color w:val="000000"/>
          <w:sz w:val="28"/>
        </w:rPr>
        <w:t>
</w:t>
      </w:r>
      <w:r>
        <w:rPr>
          <w:rFonts w:ascii="Times New Roman"/>
          <w:b w:val="false"/>
          <w:i/>
          <w:color w:val="000000"/>
          <w:sz w:val="28"/>
        </w:rPr>
        <w:t xml:space="preserve">      (либо лицо, его замещающее) </w:t>
      </w:r>
      <w:r>
        <w:br/>
      </w:r>
      <w:r>
        <w:rPr>
          <w:rFonts w:ascii="Times New Roman"/>
          <w:b w:val="false"/>
          <w:i w:val="false"/>
          <w:color w:val="000000"/>
          <w:sz w:val="28"/>
        </w:rPr>
        <w:t>
</w:t>
      </w:r>
      <w:r>
        <w:rPr>
          <w:rFonts w:ascii="Times New Roman"/>
          <w:b w:val="false"/>
          <w:i/>
          <w:color w:val="000000"/>
          <w:sz w:val="28"/>
        </w:rPr>
        <w:t xml:space="preserve">      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bookmarkStart w:name="z141" w:id="29"/>
    <w:p>
      <w:pPr>
        <w:spacing w:after="0"/>
        <w:ind w:left="0"/>
        <w:jc w:val="both"/>
      </w:pPr>
      <w:r>
        <w:rPr>
          <w:rFonts w:ascii="Times New Roman"/>
          <w:b w:val="false"/>
          <w:i w:val="false"/>
          <w:color w:val="000000"/>
          <w:sz w:val="28"/>
        </w:rPr>
        <w:t xml:space="preserve">
форма 2      </w:t>
      </w:r>
    </w:p>
    <w:bookmarkEnd w:id="29"/>
    <w:bookmarkStart w:name="z142" w:id="30"/>
    <w:p>
      <w:pPr>
        <w:spacing w:after="0"/>
        <w:ind w:left="0"/>
        <w:jc w:val="both"/>
      </w:pPr>
      <w:r>
        <w:rPr>
          <w:rFonts w:ascii="Times New Roman"/>
          <w:b w:val="false"/>
          <w:i w:val="false"/>
          <w:color w:val="000000"/>
          <w:sz w:val="28"/>
        </w:rPr>
        <w:t>              
</w:t>
      </w:r>
      <w:r>
        <w:rPr>
          <w:rFonts w:ascii="Times New Roman"/>
          <w:b/>
          <w:i w:val="false"/>
          <w:color w:val="000000"/>
          <w:sz w:val="28"/>
        </w:rPr>
        <w:t xml:space="preserve">Стресс-тестинг по процентному риску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344"/>
        <w:gridCol w:w="1556"/>
        <w:gridCol w:w="1410"/>
        <w:gridCol w:w="1515"/>
        <w:gridCol w:w="1411"/>
        <w:gridCol w:w="2240"/>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до </w:t>
            </w:r>
            <w:r>
              <w:br/>
            </w:r>
            <w:r>
              <w:rPr>
                <w:rFonts w:ascii="Times New Roman"/>
                <w:b w:val="false"/>
                <w:i w:val="false"/>
                <w:color w:val="000000"/>
                <w:sz w:val="20"/>
              </w:rPr>
              <w:t xml:space="preserve">
погашения </w:t>
            </w:r>
            <w:r>
              <w:br/>
            </w:r>
            <w:r>
              <w:rPr>
                <w:rFonts w:ascii="Times New Roman"/>
                <w:b w:val="false"/>
                <w:i w:val="false"/>
                <w:color w:val="000000"/>
                <w:sz w:val="20"/>
              </w:rPr>
              <w:t xml:space="preserve">
долговой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инструмента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Сценарий снижения процентной </w:t>
            </w:r>
            <w:r>
              <w:br/>
            </w:r>
            <w:r>
              <w:rPr>
                <w:rFonts w:ascii="Times New Roman"/>
                <w:b w:val="false"/>
                <w:i w:val="false"/>
                <w:color w:val="000000"/>
                <w:sz w:val="20"/>
              </w:rPr>
              <w:t xml:space="preserve">
ставки купонного </w:t>
            </w:r>
            <w:r>
              <w:br/>
            </w:r>
            <w:r>
              <w:rPr>
                <w:rFonts w:ascii="Times New Roman"/>
                <w:b w:val="false"/>
                <w:i w:val="false"/>
                <w:color w:val="000000"/>
                <w:sz w:val="20"/>
              </w:rPr>
              <w:t xml:space="preserve">
вознаграждения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по </w:t>
            </w:r>
            <w:r>
              <w:br/>
            </w:r>
            <w:r>
              <w:rPr>
                <w:rFonts w:ascii="Times New Roman"/>
                <w:b w:val="false"/>
                <w:i w:val="false"/>
                <w:color w:val="000000"/>
                <w:sz w:val="20"/>
              </w:rPr>
              <w:t xml:space="preserve">
выбранному </w:t>
            </w:r>
            <w:r>
              <w:br/>
            </w:r>
            <w:r>
              <w:rPr>
                <w:rFonts w:ascii="Times New Roman"/>
                <w:b w:val="false"/>
                <w:i w:val="false"/>
                <w:color w:val="000000"/>
                <w:sz w:val="20"/>
              </w:rPr>
              <w:t xml:space="preserve">
сценарию </w:t>
            </w:r>
            <w:r>
              <w:br/>
            </w:r>
            <w:r>
              <w:rPr>
                <w:rFonts w:ascii="Times New Roman"/>
                <w:b w:val="false"/>
                <w:i w:val="false"/>
                <w:color w:val="000000"/>
                <w:sz w:val="20"/>
              </w:rPr>
              <w:t xml:space="preserve">
(в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6%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w:t>
            </w:r>
            <w:r>
              <w:br/>
            </w:r>
            <w:r>
              <w:rPr>
                <w:rFonts w:ascii="Times New Roman"/>
                <w:b w:val="false"/>
                <w:i w:val="false"/>
                <w:color w:val="000000"/>
                <w:sz w:val="20"/>
              </w:rPr>
              <w:t xml:space="preserve">
6 месяцев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r>
              <w:br/>
            </w:r>
            <w:r>
              <w:rPr>
                <w:rFonts w:ascii="Times New Roman"/>
                <w:b w:val="false"/>
                <w:i w:val="false"/>
                <w:color w:val="000000"/>
                <w:sz w:val="20"/>
              </w:rPr>
              <w:t xml:space="preserve">
месяцев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r>
              <w:br/>
            </w:r>
            <w:r>
              <w:rPr>
                <w:rFonts w:ascii="Times New Roman"/>
                <w:b w:val="false"/>
                <w:i w:val="false"/>
                <w:color w:val="000000"/>
                <w:sz w:val="20"/>
              </w:rPr>
              <w:t xml:space="preserve">
месяцев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месяцев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24 </w:t>
            </w:r>
            <w:r>
              <w:br/>
            </w:r>
            <w:r>
              <w:rPr>
                <w:rFonts w:ascii="Times New Roman"/>
                <w:b w:val="false"/>
                <w:i w:val="false"/>
                <w:color w:val="000000"/>
                <w:sz w:val="20"/>
              </w:rPr>
              <w:t xml:space="preserve">
месяцев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до погашения долговой ценной бумаги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графах 3, 4, 5, 6 финансовые инструменты одной категории могут быть подвергнуты нескольким сценариям. </w:t>
      </w:r>
    </w:p>
    <w:p>
      <w:pPr>
        <w:spacing w:after="0"/>
        <w:ind w:left="0"/>
        <w:jc w:val="both"/>
      </w:pPr>
      <w:r>
        <w:rPr>
          <w:rFonts w:ascii="Times New Roman"/>
          <w:b w:val="false"/>
          <w:i w:val="false"/>
          <w:color w:val="000000"/>
          <w:sz w:val="28"/>
        </w:rPr>
        <w:t xml:space="preserve">      Краткое обоснование выбранного сценария: </w:t>
      </w:r>
    </w:p>
    <w:p>
      <w:pPr>
        <w:spacing w:after="0"/>
        <w:ind w:left="0"/>
        <w:jc w:val="both"/>
      </w:pPr>
      <w:r>
        <w:rPr>
          <w:rFonts w:ascii="Times New Roman"/>
          <w:b w:val="false"/>
          <w:i/>
          <w:color w:val="000000"/>
          <w:sz w:val="28"/>
        </w:rPr>
        <w:t xml:space="preserve">      Первый руководитель Фонда (Организации) </w:t>
      </w:r>
      <w:r>
        <w:br/>
      </w:r>
      <w:r>
        <w:rPr>
          <w:rFonts w:ascii="Times New Roman"/>
          <w:b w:val="false"/>
          <w:i w:val="false"/>
          <w:color w:val="000000"/>
          <w:sz w:val="28"/>
        </w:rPr>
        <w:t>
</w:t>
      </w:r>
      <w:r>
        <w:rPr>
          <w:rFonts w:ascii="Times New Roman"/>
          <w:b w:val="false"/>
          <w:i/>
          <w:color w:val="000000"/>
          <w:sz w:val="28"/>
        </w:rPr>
        <w:t xml:space="preserve">      (либо лицо, его замещающее) </w:t>
      </w:r>
      <w:r>
        <w:br/>
      </w:r>
      <w:r>
        <w:rPr>
          <w:rFonts w:ascii="Times New Roman"/>
          <w:b w:val="false"/>
          <w:i w:val="false"/>
          <w:color w:val="000000"/>
          <w:sz w:val="28"/>
        </w:rPr>
        <w:t>
</w:t>
      </w:r>
      <w:r>
        <w:rPr>
          <w:rFonts w:ascii="Times New Roman"/>
          <w:b w:val="false"/>
          <w:i/>
          <w:color w:val="000000"/>
          <w:sz w:val="28"/>
        </w:rPr>
        <w:t xml:space="preserve">      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bookmarkStart w:name="z143" w:id="31"/>
    <w:p>
      <w:pPr>
        <w:spacing w:after="0"/>
        <w:ind w:left="0"/>
        <w:jc w:val="both"/>
      </w:pPr>
      <w:r>
        <w:rPr>
          <w:rFonts w:ascii="Times New Roman"/>
          <w:b w:val="false"/>
          <w:i w:val="false"/>
          <w:color w:val="000000"/>
          <w:sz w:val="28"/>
        </w:rPr>
        <w:t xml:space="preserve">
форма 3      </w:t>
      </w:r>
    </w:p>
    <w:bookmarkEnd w:id="31"/>
    <w:bookmarkStart w:name="z144" w:id="32"/>
    <w:p>
      <w:pPr>
        <w:spacing w:after="0"/>
        <w:ind w:left="0"/>
        <w:jc w:val="both"/>
      </w:pPr>
      <w:r>
        <w:rPr>
          <w:rFonts w:ascii="Times New Roman"/>
          <w:b w:val="false"/>
          <w:i w:val="false"/>
          <w:color w:val="000000"/>
          <w:sz w:val="28"/>
        </w:rPr>
        <w:t>                  
</w:t>
      </w:r>
      <w:r>
        <w:rPr>
          <w:rFonts w:ascii="Times New Roman"/>
          <w:b/>
          <w:i w:val="false"/>
          <w:color w:val="000000"/>
          <w:sz w:val="28"/>
        </w:rPr>
        <w:t xml:space="preserve">Стресс-тестинг по валютному риску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352"/>
        <w:gridCol w:w="1006"/>
        <w:gridCol w:w="852"/>
        <w:gridCol w:w="874"/>
        <w:gridCol w:w="985"/>
        <w:gridCol w:w="985"/>
        <w:gridCol w:w="1250"/>
        <w:gridCol w:w="2773"/>
      </w:tblGrid>
      <w:tr>
        <w:trPr>
          <w:trHeight w:val="825"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Иностранная </w:t>
            </w:r>
            <w:r>
              <w:br/>
            </w:r>
            <w:r>
              <w:rPr>
                <w:rFonts w:ascii="Times New Roman"/>
                <w:b w:val="false"/>
                <w:i w:val="false"/>
                <w:color w:val="000000"/>
                <w:sz w:val="20"/>
              </w:rPr>
              <w:t xml:space="preserve">
валюта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номиниро- </w:t>
            </w:r>
            <w:r>
              <w:br/>
            </w:r>
            <w:r>
              <w:rPr>
                <w:rFonts w:ascii="Times New Roman"/>
                <w:b w:val="false"/>
                <w:i w:val="false"/>
                <w:color w:val="000000"/>
                <w:sz w:val="20"/>
              </w:rPr>
              <w:t xml:space="preserve">
ванных в </w:t>
            </w:r>
            <w:r>
              <w:br/>
            </w:r>
            <w:r>
              <w:rPr>
                <w:rFonts w:ascii="Times New Roman"/>
                <w:b w:val="false"/>
                <w:i w:val="false"/>
                <w:color w:val="000000"/>
                <w:sz w:val="20"/>
              </w:rPr>
              <w:t xml:space="preserve">
данной иностран- </w:t>
            </w:r>
            <w:r>
              <w:br/>
            </w:r>
            <w:r>
              <w:rPr>
                <w:rFonts w:ascii="Times New Roman"/>
                <w:b w:val="false"/>
                <w:i w:val="false"/>
                <w:color w:val="000000"/>
                <w:sz w:val="20"/>
              </w:rPr>
              <w:t xml:space="preserve">
ной валюте </w:t>
            </w:r>
            <w:r>
              <w:br/>
            </w:r>
            <w:r>
              <w:rPr>
                <w:rFonts w:ascii="Times New Roman"/>
                <w:b w:val="false"/>
                <w:i w:val="false"/>
                <w:color w:val="000000"/>
                <w:sz w:val="20"/>
              </w:rPr>
              <w:t xml:space="preserve">
(в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Сценарий укрепления тенге по </w:t>
            </w:r>
            <w:r>
              <w:br/>
            </w:r>
            <w:r>
              <w:rPr>
                <w:rFonts w:ascii="Times New Roman"/>
                <w:b w:val="false"/>
                <w:i w:val="false"/>
                <w:color w:val="000000"/>
                <w:sz w:val="20"/>
              </w:rPr>
              <w:t xml:space="preserve">
отношению к иностранной валюте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w:t>
            </w:r>
            <w:r>
              <w:br/>
            </w:r>
            <w:r>
              <w:rPr>
                <w:rFonts w:ascii="Times New Roman"/>
                <w:b w:val="false"/>
                <w:i w:val="false"/>
                <w:color w:val="000000"/>
                <w:sz w:val="20"/>
              </w:rPr>
              <w:t xml:space="preserve">
по выбран-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сценарию </w:t>
            </w:r>
            <w:r>
              <w:br/>
            </w:r>
            <w:r>
              <w:rPr>
                <w:rFonts w:ascii="Times New Roman"/>
                <w:b w:val="false"/>
                <w:i w:val="false"/>
                <w:color w:val="000000"/>
                <w:sz w:val="20"/>
              </w:rPr>
              <w:t xml:space="preserve">
(в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5%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7%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13%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убыток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Краткое обоснование выбранного сценария: </w:t>
      </w:r>
    </w:p>
    <w:p>
      <w:pPr>
        <w:spacing w:after="0"/>
        <w:ind w:left="0"/>
        <w:jc w:val="both"/>
      </w:pPr>
      <w:r>
        <w:rPr>
          <w:rFonts w:ascii="Times New Roman"/>
          <w:b w:val="false"/>
          <w:i/>
          <w:color w:val="000000"/>
          <w:sz w:val="28"/>
        </w:rPr>
        <w:t xml:space="preserve">      Первый руководитель Фонда (Организации) </w:t>
      </w:r>
      <w:r>
        <w:br/>
      </w:r>
      <w:r>
        <w:rPr>
          <w:rFonts w:ascii="Times New Roman"/>
          <w:b w:val="false"/>
          <w:i w:val="false"/>
          <w:color w:val="000000"/>
          <w:sz w:val="28"/>
        </w:rPr>
        <w:t>
</w:t>
      </w:r>
      <w:r>
        <w:rPr>
          <w:rFonts w:ascii="Times New Roman"/>
          <w:b w:val="false"/>
          <w:i/>
          <w:color w:val="000000"/>
          <w:sz w:val="28"/>
        </w:rPr>
        <w:t xml:space="preserve">      (либо лицо, его замещающее) </w:t>
      </w:r>
      <w:r>
        <w:br/>
      </w:r>
      <w:r>
        <w:rPr>
          <w:rFonts w:ascii="Times New Roman"/>
          <w:b w:val="false"/>
          <w:i w:val="false"/>
          <w:color w:val="000000"/>
          <w:sz w:val="28"/>
        </w:rPr>
        <w:t>
</w:t>
      </w:r>
      <w:r>
        <w:rPr>
          <w:rFonts w:ascii="Times New Roman"/>
          <w:b w:val="false"/>
          <w:i/>
          <w:color w:val="000000"/>
          <w:sz w:val="28"/>
        </w:rPr>
        <w:t xml:space="preserve">      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bookmarkStart w:name="z145" w:id="33"/>
    <w:p>
      <w:pPr>
        <w:spacing w:after="0"/>
        <w:ind w:left="0"/>
        <w:jc w:val="both"/>
      </w:pPr>
      <w:r>
        <w:rPr>
          <w:rFonts w:ascii="Times New Roman"/>
          <w:b w:val="false"/>
          <w:i w:val="false"/>
          <w:color w:val="000000"/>
          <w:sz w:val="28"/>
        </w:rPr>
        <w:t xml:space="preserve">
форма 4 </w:t>
      </w:r>
    </w:p>
    <w:bookmarkEnd w:id="33"/>
    <w:p>
      <w:pPr>
        <w:spacing w:after="0"/>
        <w:ind w:left="0"/>
        <w:jc w:val="both"/>
      </w:pPr>
      <w:r>
        <w:rPr>
          <w:rFonts w:ascii="Times New Roman"/>
          <w:b w:val="false"/>
          <w:i w:val="false"/>
          <w:color w:val="ff0000"/>
          <w:sz w:val="28"/>
        </w:rPr>
        <w:t xml:space="preserve">      Сноска. Форма 4 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ff0000"/>
          <w:sz w:val="28"/>
        </w:rPr>
        <w:t>№ 49</w:t>
      </w:r>
      <w:r>
        <w:rPr>
          <w:rFonts w:ascii="Times New Roman"/>
          <w:b w:val="false"/>
          <w:i w:val="false"/>
          <w:color w:val="ff0000"/>
          <w:sz w:val="28"/>
        </w:rPr>
        <w:t>.     </w:t>
      </w:r>
    </w:p>
    <w:bookmarkStart w:name="z146" w:id="34"/>
    <w:p>
      <w:pPr>
        <w:spacing w:after="0"/>
        <w:ind w:left="0"/>
        <w:jc w:val="both"/>
      </w:pPr>
      <w:r>
        <w:rPr>
          <w:rFonts w:ascii="Times New Roman"/>
          <w:b w:val="false"/>
          <w:i w:val="false"/>
          <w:color w:val="000000"/>
          <w:sz w:val="28"/>
        </w:rPr>
        <w:t>                  
</w:t>
      </w:r>
      <w:r>
        <w:rPr>
          <w:rFonts w:ascii="Times New Roman"/>
          <w:b/>
          <w:i w:val="false"/>
          <w:color w:val="000000"/>
          <w:sz w:val="28"/>
        </w:rPr>
        <w:t xml:space="preserve">Стресс-тестинг по риску ликвидности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83"/>
        <w:gridCol w:w="1217"/>
        <w:gridCol w:w="1329"/>
        <w:gridCol w:w="1217"/>
        <w:gridCol w:w="1240"/>
        <w:gridCol w:w="1485"/>
        <w:gridCol w:w="1240"/>
        <w:gridCol w:w="1018"/>
        <w:gridCol w:w="996"/>
      </w:tblGrid>
      <w:tr>
        <w:trPr>
          <w:trHeight w:val="315"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ликвидного </w:t>
            </w:r>
            <w:r>
              <w:br/>
            </w:r>
            <w:r>
              <w:rPr>
                <w:rFonts w:ascii="Times New Roman"/>
                <w:b w:val="false"/>
                <w:i w:val="false"/>
                <w:color w:val="000000"/>
                <w:sz w:val="20"/>
              </w:rPr>
              <w:t xml:space="preserve">
актива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переводы, пеня и штрафы </w:t>
            </w:r>
            <w:r>
              <w:br/>
            </w:r>
            <w:r>
              <w:rPr>
                <w:rFonts w:ascii="Times New Roman"/>
                <w:b w:val="false"/>
                <w:i w:val="false"/>
                <w:color w:val="000000"/>
                <w:sz w:val="20"/>
              </w:rPr>
              <w:t xml:space="preserve">
за вычетом поступления % от активов </w:t>
            </w:r>
          </w:p>
        </w:tc>
      </w:tr>
      <w:tr>
        <w:trPr>
          <w:trHeight w:val="1245" w:hRule="atLeast"/>
        </w:trPr>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8%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10% </w:t>
            </w:r>
          </w:p>
        </w:tc>
      </w:tr>
      <w:tr>
        <w:trPr>
          <w:trHeight w:val="3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Достаточность </w:t>
            </w:r>
            <w:r>
              <w:br/>
            </w:r>
            <w:r>
              <w:rPr>
                <w:rFonts w:ascii="Times New Roman"/>
                <w:b w:val="false"/>
                <w:i w:val="false"/>
                <w:color w:val="000000"/>
                <w:sz w:val="20"/>
              </w:rPr>
              <w:t xml:space="preserve">
ликвидных </w:t>
            </w:r>
            <w:r>
              <w:br/>
            </w:r>
            <w:r>
              <w:rPr>
                <w:rFonts w:ascii="Times New Roman"/>
                <w:b w:val="false"/>
                <w:i w:val="false"/>
                <w:color w:val="000000"/>
                <w:sz w:val="20"/>
              </w:rPr>
              <w:t xml:space="preserve">
активов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 осуществлении стресс-тестинга по риску ликвидности по собственным активам Фонда (Организации) перечень ликвидных активов Фонда (Организации) установлен постановлением № 180 и постановлением № 181. </w:t>
      </w:r>
      <w:r>
        <w:br/>
      </w:r>
      <w:r>
        <w:rPr>
          <w:rFonts w:ascii="Times New Roman"/>
          <w:b w:val="false"/>
          <w:i w:val="false"/>
          <w:color w:val="000000"/>
          <w:sz w:val="28"/>
        </w:rPr>
        <w:t xml:space="preserve">
      При осуществлении стресс-тестинга по риску ликвидности по пенсионным активам в расчет ликвидных активов включаются: </w:t>
      </w:r>
      <w:r>
        <w:br/>
      </w:r>
      <w:r>
        <w:rPr>
          <w:rFonts w:ascii="Times New Roman"/>
          <w:b w:val="false"/>
          <w:i w:val="false"/>
          <w:color w:val="000000"/>
          <w:sz w:val="28"/>
        </w:rPr>
        <w:t xml:space="preserve">
      1) деньги на инвестиционных и текущих счетах в банках; </w:t>
      </w:r>
      <w:r>
        <w:br/>
      </w:r>
      <w:r>
        <w:rPr>
          <w:rFonts w:ascii="Times New Roman"/>
          <w:b w:val="false"/>
          <w:i w:val="false"/>
          <w:color w:val="000000"/>
          <w:sz w:val="28"/>
        </w:rPr>
        <w:t xml:space="preserve">
      2) государственные ценные бумаги Республики Казахстан со сроком до погашения не более двух лет; </w:t>
      </w:r>
      <w:r>
        <w:br/>
      </w:r>
      <w:r>
        <w:rPr>
          <w:rFonts w:ascii="Times New Roman"/>
          <w:b w:val="false"/>
          <w:i w:val="false"/>
          <w:color w:val="000000"/>
          <w:sz w:val="28"/>
        </w:rPr>
        <w:t xml:space="preserve">
      3) государственные ценные бумаги иностранных государств с рейтингом не ниже "ВВВ-"; </w:t>
      </w:r>
      <w:r>
        <w:br/>
      </w:r>
      <w:r>
        <w:rPr>
          <w:rFonts w:ascii="Times New Roman"/>
          <w:b w:val="false"/>
          <w:i w:val="false"/>
          <w:color w:val="000000"/>
          <w:sz w:val="28"/>
        </w:rPr>
        <w:t xml:space="preserve">
      4) ценные бумаги международных финансовых организаций с рейтингом не ниже "ВВВ-"; </w:t>
      </w:r>
      <w:r>
        <w:br/>
      </w:r>
      <w:r>
        <w:rPr>
          <w:rFonts w:ascii="Times New Roman"/>
          <w:b w:val="false"/>
          <w:i w:val="false"/>
          <w:color w:val="000000"/>
          <w:sz w:val="28"/>
        </w:rPr>
        <w:t xml:space="preserve">
      5) операции "Обратное РЕПО" со сроком до погашения менее 7 дней под гарантию государственных ценных бумаг Республики Казахстан; </w:t>
      </w:r>
      <w:r>
        <w:br/>
      </w:r>
      <w:r>
        <w:rPr>
          <w:rFonts w:ascii="Times New Roman"/>
          <w:b w:val="false"/>
          <w:i w:val="false"/>
          <w:color w:val="000000"/>
          <w:sz w:val="28"/>
        </w:rPr>
        <w:t xml:space="preserve">
      6) аффинированные драгоценные металлы; </w:t>
      </w:r>
      <w:r>
        <w:br/>
      </w:r>
      <w:r>
        <w:rPr>
          <w:rFonts w:ascii="Times New Roman"/>
          <w:b w:val="false"/>
          <w:i w:val="false"/>
          <w:color w:val="000000"/>
          <w:sz w:val="28"/>
        </w:rPr>
        <w:t xml:space="preserve">
      7) вклады в банках второго уровня; </w:t>
      </w:r>
      <w:r>
        <w:br/>
      </w:r>
      <w:r>
        <w:rPr>
          <w:rFonts w:ascii="Times New Roman"/>
          <w:b w:val="false"/>
          <w:i w:val="false"/>
          <w:color w:val="000000"/>
          <w:sz w:val="28"/>
        </w:rPr>
        <w:t xml:space="preserve">
      8) GDR на акции казахстанских эмитентов; </w:t>
      </w:r>
      <w:r>
        <w:br/>
      </w:r>
      <w:r>
        <w:rPr>
          <w:rFonts w:ascii="Times New Roman"/>
          <w:b w:val="false"/>
          <w:i w:val="false"/>
          <w:color w:val="000000"/>
          <w:sz w:val="28"/>
        </w:rPr>
        <w:t xml:space="preserve">
      9) GDR и ADR на акции иностранных эмитентов с рейтинговой оценкой не ниже "ВВВ-"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xml:space="preserve">
      10) ценные бумаги эмитентов-резидентов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xml:space="preserve">
      11) ценные бумаги эмитентов-нерезидентов Республики Казахстан, имеющих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w:t>
      </w:r>
    </w:p>
    <w:p>
      <w:pPr>
        <w:spacing w:after="0"/>
        <w:ind w:left="0"/>
        <w:jc w:val="both"/>
      </w:pPr>
      <w:r>
        <w:rPr>
          <w:rFonts w:ascii="Times New Roman"/>
          <w:b w:val="false"/>
          <w:i w:val="false"/>
          <w:color w:val="000000"/>
          <w:sz w:val="28"/>
        </w:rPr>
        <w:t xml:space="preserve">      Краткий анализ оснований выбранного сценария: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Первый руководитель Фонда (Организации) </w:t>
      </w:r>
      <w:r>
        <w:br/>
      </w:r>
      <w:r>
        <w:rPr>
          <w:rFonts w:ascii="Times New Roman"/>
          <w:b w:val="false"/>
          <w:i w:val="false"/>
          <w:color w:val="000000"/>
          <w:sz w:val="28"/>
        </w:rPr>
        <w:t>
</w:t>
      </w:r>
      <w:r>
        <w:rPr>
          <w:rFonts w:ascii="Times New Roman"/>
          <w:b w:val="false"/>
          <w:i/>
          <w:color w:val="000000"/>
          <w:sz w:val="28"/>
        </w:rPr>
        <w:t xml:space="preserve">      (либо лицо, его замещающее) </w:t>
      </w:r>
      <w:r>
        <w:br/>
      </w:r>
      <w:r>
        <w:rPr>
          <w:rFonts w:ascii="Times New Roman"/>
          <w:b w:val="false"/>
          <w:i w:val="false"/>
          <w:color w:val="000000"/>
          <w:sz w:val="28"/>
        </w:rPr>
        <w:t>
</w:t>
      </w:r>
      <w:r>
        <w:rPr>
          <w:rFonts w:ascii="Times New Roman"/>
          <w:b w:val="false"/>
          <w:i/>
          <w:color w:val="000000"/>
          <w:sz w:val="28"/>
        </w:rPr>
        <w:t xml:space="preserve">      ________________ ______________ </w:t>
      </w:r>
      <w:r>
        <w:br/>
      </w:r>
      <w:r>
        <w:rPr>
          <w:rFonts w:ascii="Times New Roman"/>
          <w:b w:val="false"/>
          <w:i w:val="false"/>
          <w:color w:val="000000"/>
          <w:sz w:val="28"/>
        </w:rPr>
        <w:t>
</w:t>
      </w:r>
      <w:r>
        <w:rPr>
          <w:rFonts w:ascii="Times New Roman"/>
          <w:b w:val="false"/>
          <w:i/>
          <w:color w:val="000000"/>
          <w:sz w:val="28"/>
        </w:rPr>
        <w:t xml:space="preserve">           подпись         дата </w:t>
      </w:r>
    </w:p>
    <w:p>
      <w:pPr>
        <w:spacing w:after="0"/>
        <w:ind w:left="0"/>
        <w:jc w:val="both"/>
      </w:pPr>
      <w:r>
        <w:rPr>
          <w:rFonts w:ascii="Times New Roman"/>
          <w:b w:val="false"/>
          <w:i w:val="false"/>
          <w:color w:val="000000"/>
          <w:sz w:val="28"/>
        </w:rPr>
        <w:t xml:space="preserve">      Примечание : </w:t>
      </w:r>
      <w:r>
        <w:br/>
      </w:r>
      <w:r>
        <w:rPr>
          <w:rFonts w:ascii="Times New Roman"/>
          <w:b w:val="false"/>
          <w:i w:val="false"/>
          <w:color w:val="000000"/>
          <w:sz w:val="28"/>
        </w:rPr>
        <w:t xml:space="preserve">
      Стресс-тестинг проводится в отдельности по пенсионным активам Фонда и по собственным активам Фонда и (или) Организации. </w:t>
      </w:r>
    </w:p>
    <w:bookmarkStart w:name="z137"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требованиях по   </w:t>
      </w:r>
      <w:r>
        <w:br/>
      </w:r>
      <w:r>
        <w:rPr>
          <w:rFonts w:ascii="Times New Roman"/>
          <w:b w:val="false"/>
          <w:i w:val="false"/>
          <w:color w:val="000000"/>
          <w:sz w:val="28"/>
        </w:rPr>
        <w:t xml:space="preserve">
наличию системы управления      </w:t>
      </w:r>
      <w:r>
        <w:br/>
      </w:r>
      <w:r>
        <w:rPr>
          <w:rFonts w:ascii="Times New Roman"/>
          <w:b w:val="false"/>
          <w:i w:val="false"/>
          <w:color w:val="000000"/>
          <w:sz w:val="28"/>
        </w:rPr>
        <w:t xml:space="preserve">
рисками для накопительных       </w:t>
      </w:r>
      <w:r>
        <w:br/>
      </w:r>
      <w:r>
        <w:rPr>
          <w:rFonts w:ascii="Times New Roman"/>
          <w:b w:val="false"/>
          <w:i w:val="false"/>
          <w:color w:val="000000"/>
          <w:sz w:val="28"/>
        </w:rPr>
        <w:t xml:space="preserve">
пенсионных фондов и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35"/>
    <w:bookmarkStart w:name="z147" w:id="36"/>
    <w:p>
      <w:pPr>
        <w:spacing w:after="0"/>
        <w:ind w:left="0"/>
        <w:jc w:val="both"/>
      </w:pPr>
      <w:r>
        <w:rPr>
          <w:rFonts w:ascii="Times New Roman"/>
          <w:b w:val="false"/>
          <w:i w:val="false"/>
          <w:color w:val="000000"/>
          <w:sz w:val="28"/>
        </w:rPr>
        <w:t>         
</w:t>
      </w:r>
      <w:r>
        <w:rPr>
          <w:rFonts w:ascii="Times New Roman"/>
          <w:b/>
          <w:i w:val="false"/>
          <w:color w:val="000000"/>
          <w:sz w:val="28"/>
        </w:rPr>
        <w:t>Отчет о соблюдении (использовании) максимальных</w:t>
      </w:r>
      <w:r>
        <w:br/>
      </w:r>
      <w:r>
        <w:rPr>
          <w:rFonts w:ascii="Times New Roman"/>
          <w:b w:val="false"/>
          <w:i w:val="false"/>
          <w:color w:val="000000"/>
          <w:sz w:val="28"/>
        </w:rPr>
        <w:t>
</w:t>
      </w:r>
      <w:r>
        <w:rPr>
          <w:rFonts w:ascii="Times New Roman"/>
          <w:b/>
          <w:i w:val="false"/>
          <w:color w:val="000000"/>
          <w:sz w:val="28"/>
        </w:rPr>
        <w:t>допустимых</w:t>
      </w:r>
      <w:r>
        <w:rPr>
          <w:rFonts w:ascii="Times New Roman"/>
          <w:b w:val="false"/>
          <w:i w:val="false"/>
          <w:color w:val="000000"/>
          <w:sz w:val="28"/>
        </w:rPr>
        <w:t> </w:t>
      </w:r>
      <w:r>
        <w:rPr>
          <w:rFonts w:ascii="Times New Roman"/>
          <w:b/>
          <w:i w:val="false"/>
          <w:color w:val="000000"/>
          <w:sz w:val="28"/>
        </w:rPr>
        <w:t>размеров убытков по пенсионным и собственным активам</w:t>
      </w:r>
    </w:p>
    <w:bookmarkEnd w:id="36"/>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за период с ____________ по __________________</w:t>
      </w:r>
    </w:p>
    <w:p>
      <w:pPr>
        <w:spacing w:after="0"/>
        <w:ind w:left="0"/>
        <w:jc w:val="both"/>
      </w:pPr>
      <w:r>
        <w:rPr>
          <w:rFonts w:ascii="Times New Roman"/>
          <w:b w:val="false"/>
          <w:i w:val="false"/>
          <w:color w:val="ff0000"/>
          <w:sz w:val="28"/>
        </w:rPr>
        <w:t xml:space="preserve">      Сноска. Приложение 3 в редакции постановления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2109"/>
        <w:gridCol w:w="2863"/>
        <w:gridCol w:w="2713"/>
      </w:tblGrid>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максимального</w:t>
            </w:r>
            <w:r>
              <w:br/>
            </w:r>
            <w:r>
              <w:rPr>
                <w:rFonts w:ascii="Times New Roman"/>
                <w:b w:val="false"/>
                <w:i w:val="false"/>
                <w:color w:val="000000"/>
                <w:sz w:val="20"/>
              </w:rPr>
              <w:t>
допустимого размера</w:t>
            </w:r>
            <w:r>
              <w:br/>
            </w:r>
            <w:r>
              <w:rPr>
                <w:rFonts w:ascii="Times New Roman"/>
                <w:b w:val="false"/>
                <w:i w:val="false"/>
                <w:color w:val="000000"/>
                <w:sz w:val="20"/>
              </w:rPr>
              <w:t>
убытка (МДРУ)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w:t>
            </w:r>
            <w:r>
              <w:br/>
            </w:r>
            <w:r>
              <w:rPr>
                <w:rFonts w:ascii="Times New Roman"/>
                <w:b w:val="false"/>
                <w:i w:val="false"/>
                <w:color w:val="000000"/>
                <w:sz w:val="20"/>
              </w:rPr>
              <w:t>
МДРУ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МДРУ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понесенные</w:t>
            </w:r>
            <w:r>
              <w:br/>
            </w:r>
            <w:r>
              <w:rPr>
                <w:rFonts w:ascii="Times New Roman"/>
                <w:b w:val="false"/>
                <w:i w:val="false"/>
                <w:color w:val="000000"/>
                <w:sz w:val="20"/>
              </w:rPr>
              <w:t>
убытки</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стране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валюте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сектору экономики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эмитенту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финансового</w:t>
            </w:r>
            <w:r>
              <w:br/>
            </w:r>
            <w:r>
              <w:rPr>
                <w:rFonts w:ascii="Times New Roman"/>
                <w:b w:val="false"/>
                <w:i w:val="false"/>
                <w:color w:val="000000"/>
                <w:sz w:val="20"/>
              </w:rPr>
              <w:t>
инструмента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организации (либо лицо, его замещающее)</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службы внутреннего аудита</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Отчет представляется отдельно по собственным и пенсионным активам.</w:t>
      </w:r>
    </w:p>
    <w:bookmarkStart w:name="z148"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требованиях по   </w:t>
      </w:r>
      <w:r>
        <w:br/>
      </w:r>
      <w:r>
        <w:rPr>
          <w:rFonts w:ascii="Times New Roman"/>
          <w:b w:val="false"/>
          <w:i w:val="false"/>
          <w:color w:val="000000"/>
          <w:sz w:val="28"/>
        </w:rPr>
        <w:t xml:space="preserve">
наличию системы управления      </w:t>
      </w:r>
      <w:r>
        <w:br/>
      </w:r>
      <w:r>
        <w:rPr>
          <w:rFonts w:ascii="Times New Roman"/>
          <w:b w:val="false"/>
          <w:i w:val="false"/>
          <w:color w:val="000000"/>
          <w:sz w:val="28"/>
        </w:rPr>
        <w:t xml:space="preserve">
рисками для накопительных       </w:t>
      </w:r>
      <w:r>
        <w:br/>
      </w:r>
      <w:r>
        <w:rPr>
          <w:rFonts w:ascii="Times New Roman"/>
          <w:b w:val="false"/>
          <w:i w:val="false"/>
          <w:color w:val="000000"/>
          <w:sz w:val="28"/>
        </w:rPr>
        <w:t>
пенсионных фондов и организаций,</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37"/>
    <w:p>
      <w:pPr>
        <w:spacing w:after="0"/>
        <w:ind w:left="0"/>
        <w:jc w:val="both"/>
      </w:pPr>
      <w:r>
        <w:rPr>
          <w:rFonts w:ascii="Times New Roman"/>
          <w:b w:val="false"/>
          <w:i w:val="false"/>
          <w:color w:val="000000"/>
          <w:sz w:val="28"/>
        </w:rPr>
        <w:t>    </w:t>
      </w:r>
      <w:r>
        <w:rPr>
          <w:rFonts w:ascii="Times New Roman"/>
          <w:b/>
          <w:i w:val="false"/>
          <w:color w:val="000000"/>
          <w:sz w:val="28"/>
        </w:rPr>
        <w:t>Отчет о соблюдении (использовании) установленных лимитов</w:t>
      </w:r>
      <w:r>
        <w:br/>
      </w:r>
      <w:r>
        <w:rPr>
          <w:rFonts w:ascii="Times New Roman"/>
          <w:b w:val="false"/>
          <w:i w:val="false"/>
          <w:color w:val="000000"/>
          <w:sz w:val="28"/>
        </w:rPr>
        <w:t>
</w:t>
      </w:r>
      <w:r>
        <w:rPr>
          <w:rFonts w:ascii="Times New Roman"/>
          <w:b/>
          <w:i w:val="false"/>
          <w:color w:val="000000"/>
          <w:sz w:val="28"/>
        </w:rPr>
        <w:t>"stop-loss" и "take-profit" по пенсионным и собственным активам</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за период с ____________ по __________________</w:t>
      </w:r>
    </w:p>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постановлением Правления АФН РК от 04.10.2010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2482"/>
        <w:gridCol w:w="2482"/>
        <w:gridCol w:w="2731"/>
        <w:gridCol w:w="2608"/>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инструмент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лимит</w:t>
            </w:r>
            <w:r>
              <w:br/>
            </w:r>
            <w:r>
              <w:rPr>
                <w:rFonts w:ascii="Times New Roman"/>
                <w:b w:val="false"/>
                <w:i w:val="false"/>
                <w:color w:val="000000"/>
                <w:sz w:val="20"/>
              </w:rPr>
              <w:t>
"stop–loss"</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w:t>
            </w:r>
            <w:r>
              <w:br/>
            </w:r>
            <w:r>
              <w:rPr>
                <w:rFonts w:ascii="Times New Roman"/>
                <w:b w:val="false"/>
                <w:i w:val="false"/>
                <w:color w:val="000000"/>
                <w:sz w:val="20"/>
              </w:rPr>
              <w:t>
лимит</w:t>
            </w:r>
            <w:r>
              <w:br/>
            </w:r>
            <w:r>
              <w:rPr>
                <w:rFonts w:ascii="Times New Roman"/>
                <w:b w:val="false"/>
                <w:i w:val="false"/>
                <w:color w:val="000000"/>
                <w:sz w:val="20"/>
              </w:rPr>
              <w:t>
"take–profit"</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Понесенные</w:t>
            </w:r>
            <w:r>
              <w:br/>
            </w:r>
            <w:r>
              <w:rPr>
                <w:rFonts w:ascii="Times New Roman"/>
                <w:b w:val="false"/>
                <w:i w:val="false"/>
                <w:color w:val="000000"/>
                <w:sz w:val="20"/>
              </w:rPr>
              <w:t>
убытки в случае</w:t>
            </w:r>
            <w:r>
              <w:br/>
            </w:r>
            <w:r>
              <w:rPr>
                <w:rFonts w:ascii="Times New Roman"/>
                <w:b w:val="false"/>
                <w:i w:val="false"/>
                <w:color w:val="000000"/>
                <w:sz w:val="20"/>
              </w:rPr>
              <w:t>
превышения</w:t>
            </w:r>
            <w:r>
              <w:br/>
            </w:r>
            <w:r>
              <w:rPr>
                <w:rFonts w:ascii="Times New Roman"/>
                <w:b w:val="false"/>
                <w:i w:val="false"/>
                <w:color w:val="000000"/>
                <w:sz w:val="20"/>
              </w:rPr>
              <w:t>
лимита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Предпринятые</w:t>
            </w:r>
            <w:r>
              <w:br/>
            </w:r>
            <w:r>
              <w:rPr>
                <w:rFonts w:ascii="Times New Roman"/>
                <w:b w:val="false"/>
                <w:i w:val="false"/>
                <w:color w:val="000000"/>
                <w:sz w:val="20"/>
              </w:rPr>
              <w:t>
меры в случае</w:t>
            </w:r>
            <w:r>
              <w:br/>
            </w:r>
            <w:r>
              <w:rPr>
                <w:rFonts w:ascii="Times New Roman"/>
                <w:b w:val="false"/>
                <w:i w:val="false"/>
                <w:color w:val="000000"/>
                <w:sz w:val="20"/>
              </w:rPr>
              <w:t>
превышения</w:t>
            </w:r>
            <w:r>
              <w:br/>
            </w:r>
            <w:r>
              <w:rPr>
                <w:rFonts w:ascii="Times New Roman"/>
                <w:b w:val="false"/>
                <w:i w:val="false"/>
                <w:color w:val="000000"/>
                <w:sz w:val="20"/>
              </w:rPr>
              <w:t>
лимита</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организации (либо лицо, его замещающее)</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службы внутреннего аудита</w:t>
      </w:r>
      <w:r>
        <w:br/>
      </w:r>
      <w:r>
        <w:rPr>
          <w:rFonts w:ascii="Times New Roman"/>
          <w:b w:val="false"/>
          <w:i w:val="false"/>
          <w:color w:val="000000"/>
          <w:sz w:val="28"/>
        </w:rPr>
        <w:t>
___________________________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Отчет представляется отдельно по собственным и пенсионным активам.</w:t>
      </w:r>
      <w:r>
        <w:br/>
      </w:r>
      <w:r>
        <w:rPr>
          <w:rFonts w:ascii="Times New Roman"/>
          <w:b w:val="false"/>
          <w:i w:val="false"/>
          <w:color w:val="000000"/>
          <w:sz w:val="28"/>
        </w:rPr>
        <w:t>
В графе "Понесенные убытки в случае превышения лимита" указываются убытки с учетом полученных доходов.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