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bf0d" w14:textId="06cb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июня 2009 года № 344. Зарегистрирован в Министерстве юстиции Республики Казахстан 14 июля 2009 года № 5719. Утратил силу приказом и.о. Министра сельского хозяйства Республики Казахстан от 13 сентября 2018 года № 383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506 Кодекса Республики Казахстан "О налогах и других обязательных платежах в бюджет" (Налоговый кодекс) и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расчета ставок платы за лесные пользования в государственном лесном фонде и в особо охраняемых природных территориях;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Методические указания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расчета ставок платы за лесные пользования в государственном лесном фонде и в особо охраняемых природных территориях.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использования природных ресурсов обеспечить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Евниев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2009 года № 344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ставок платы за лесные пользования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лесном фонде и в особо охраняемых природных территориях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ставок платы за лесные пользования в государственном лесном фонде и в особо охраняемых природных территориях (далее - Правила) разработаны в соответствии с Кодексом Республики Казахстан "О налогах и других обязательных платежах в бюджет" (Налоговый кодекс), и определяют порядок расчета ставок платы за лесные пользования в государственном лесном фонде (далее - ГЛФ) и в особо охраняемых природных территориях (далее - ООПТ).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оплаты за выписанный объем указывается в разрешительных документах на лесопользование в лесорубочном и лесном билетах.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Лесорубочный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документом, дающим право лесопользователю на проведение заготовки и вывозки живицы, древесных соков и второстепенных древесных ресурсов.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документом, предоставляющим право на осуществление побочных лесных пользований, пользование участками государственного лесного фонда для нужд охотничьего хозяйства, научно-исследовательских, культурно-оздоровительных, рекреационных, туристских и спортивных целей.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Лесные пользования в ГЛФ и ООПТ осуществляются в соответствии с требованиями лесного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особо охраняемых природных территорий.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Ставки платы за лесные пользования, за исключением ставок платы за древесину, отпускаемую на корню, определяются на основании расчета местного исполнительного органа области (города республиканского значения, столицы) в соответствии с настоящими Правилами и Методическими указаниями для расчета ставок платы за лесные пользования в государственном лесном фонде и в особо охраняемых природных территориях (далее - Методические указания) и утверждаются местным представительным органом области (города республиканского значения, столицы).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Ставки платы за лесные пользования рассчитываются в тенге за единицу используемого вида ресурса.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отдельные виды лесных пользований, с целью удлинения сроков их применения могут увязываться со ставками платы за древесину, отпускаемую на корню и базовыми налоговыми ставками на земли сельскохозяйственного значения, и определяться в долях или в процентном отношении от их размера, а также от размера месячного расчетного показателя.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видам второстепенных древесных ресурсов, относящихся к лекарственному и техническому сырью применяются ставки платы за заготовку лекарственных растений и технического сырья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побочного лесного пользования.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Ставки платы за использование участков ГЛФ для огородничества, бахчеводства и выращивания иных сельскохозяйственных культур устанавливаются на уровне ставок земельного налога, определенных налоговым законодательством, а для других видов побочных лесных пользований ставки платы не должна быть ниже размеров ставок земельного налога.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Ставки платы за лесные пользования, утвержденные местным представительным органами области (города республиканского значения, столицы), пересматриваются не реже чем один раз в 3 года.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Ставки платы за лесные пользования в ГЛФ и ООПТ, утвержденные местным представительным органами области (города республиканского значения, столицы), являются обязательными к применению для государственных лесовладельцев и природоохранных учреждений республиканского и местного значения.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2009 года № 344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указания</w:t>
      </w:r>
      <w:r>
        <w:br/>
      </w:r>
      <w:r>
        <w:rPr>
          <w:rFonts w:ascii="Times New Roman"/>
          <w:b/>
          <w:i w:val="false"/>
          <w:color w:val="000000"/>
        </w:rPr>
        <w:t>для расчета ставок платы за лесные пользования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лесном фонде и в особо охраняемых природных территориях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указания для расчета ставок платы за лесные пользования в государственном лесном фонде и в особо охраняемых природных территориях (далее - Методические указания)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, и предназначены для определения размеров ставок платы за лесные пользования в государственном лесном фонде (далее - ГЛФ) и в особо охраняемых природных территориях (далее - ООПТ).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Методических указаний является расширение сферы действия рыночных механизмов в области лесного хозяйства и ООПТ путем установления платы за лесные ресурсы (кроме древесных ресурсов) и полезностей леса, используемых для удовлетворения разносторонних потребностей общества, а также установления единого подхода к расчету ставок платы за лесные пользования в ГЛФ и ООПТ на всей территории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Методических указаниях используются следующие основные понятия: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второстепенные древесные ресурсы - кора, ветви, пни, корни, листья, почки деревьев и кустарников;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долгосрочное лесопользование - права и целенаправленные действия физических и юридических лиц по удовлетворению потребностей в определенных видах лесных ресурсов и полезностей леса, предоставленные и осуществляемые в срок от 10 до 49 лет;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древесный сок - жидкое вещество, выделяющееся при повреждении лиственных деревьев;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живица - смолистое вещество, выделяющееся при повреждении хвойных деревьев;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изымаемые лесные ресурсы - виды лесных ресурсов, добываемые или собираемые в лесу с последующим их вывозом в целях потребления;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краткосрочное лесопользование - права и целенаправленные действия физических и юридических лиц по удовлетворению потребностей в определенных видах лесных ресурсов и полезностей леса, предоставленные и осуществляемые в срок до одного года;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лесной фонд Республики Казахстан - все леса, находящиеся на территории Республики Казахстан, а также земли лесного фонда, не покрытые лесной растительностью, но предназначенные для нужд лесного хозяйства;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лесные пользования - действия физических и юридических лиц, направленные на удовлетворение экономических и социальных нужд за счет лесного фонда, лесных ресурсов и полезностей леса на основе прав и обязанностей, установленных законодательными актами Республики Казахстан;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лесопользователь - физическое и юридическое лицо, которому предоставлено право лесопользования в порядке, установленном лесным законодательством Республики Казахстан;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лесные ресурсы - запасы древесины, живицы и древесных соков, второстепенных древесных ресурсов, дикорастущих плодов, орехов, грибов, ягод, лекарственных растений и технического сырья, иных продуктов растительного и животного происхождения, находящихся, накапливаемых и добываемых в лесном фонде;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 изымаемые лесные ресурсы - участки лесного фонда и виды полезных свойств леса, которые свойственны растущему лесу и физически не могут быть отторгнуты от природы леса;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плата за лесные пользования - сумма, взимаемая за заготовку древесины, живицы, древесных соков и второстепенных древесных ресурсов, за побочные лесные пользования, использование участков государственного лесного фонда и ООПТ для нужд охотничьего хозяйства, научно-исследовательских, культурно-оздоровительных, рекреационных, туристских и спортивных целей;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полезные свойства леса - экологические и социально значимые функции, характерные для него в растущем состоянии (выделение кислорода, поглощение углекислого газа, предохранение почв от водной и ветровой эрозии, перевод поверхностного стока вод во внутрипочвенный, бальнеологические и климаторегулирующие свойства);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ставки платы за лесные пользования - система цен и оценок на лесные ресурсы и полезных свойств леса, установленные в расчете на единицу используемого их объема или площади лесных угодий на основе настоящих Методических указаний.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Особенности расчета ставок платы за лесные пользования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Методика расчета ставок платы, изложенная в настоящих Методических указаниях, распространяется на следующие виды лесных пользований: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второстепенных древесных 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побочные лесные пользования;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пользование участками государственного лесного фонда и ООПТ для нужд охотничьего хозяйства, научно-исследовательских, культурно-оздоровительных, рекреационных, туристских и спортивных целей.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экономическая ценность (стоимость) лесов принципиально отличается от моноплановой оценки лесов на основе стволовой древесины и предполагает повышение реального вклада лесов и лесного хозяйства в экономику государства путем определения стоимости разнообразных видов лесных ресурсов и многосторонних полезных функций лесов и вовлечения их в хозяйственный оборот.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Общая экономическая оценка (стоимость) лесов (TEV) определяется как сумма стоимостей всех используемых (UV) и неиспользуемых (NUV) ресурсов и полезных свойств лесов, указанных в схеме формирования и базовых компонентах общей экономической оценки лесов,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указаниям, и определяется по формуле: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TЕV = UV + NUV (1)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Используемая стоимость (UV) включает в себя стоимость прямого использования лесов (DUV), косвенного их использования (JUV) и отложенной альтернативы (OV) и определяется по формуле: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UV = DUV + JUV + OV (2)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лесных пользований, перечисленные в пункте 4 настоящих Методических указаний, в совокупности образуют стоимость прямого использования лесных ресурсов (DUV), за исключением стоимости древесины.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разработке ставок платы за лесные пользования учитываются специфические различия между изымаемыми и не изымаемыми лесными ресурсами,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видам лесопользования с изъятием лесных ресурсов относятся: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второстепенных древесных 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побочные лесные пользования, связанные с заготовкой или сбором плодов, орехов, грибов, ягод, других пищевых продуктов леса, лекарственных растений, технического сырья, мха, лесной подстилки и опавших листьев, камыша.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видам лесопользования без изъятия лесных ресурсов относятся: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побочные лесные пользования, основанные на использовании участков ГЛФ для сенокошения, пастьбы скота, мараловодства, звероводства, размещения ульев и пасек, огородничества, бахчеводства и выращивания иных сельскохозяйственных культур;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пользование участками ГЛФ для нужд охотничьего хозяйства, научно-исследовательских, культурно-оздоровительных, рекреационных, туристских и спортивных целей.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Ставки платы за лесопользование дифференцируются в зависимости от его сроков (продолжительности),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долгосрочным видам лесопользования (от 10 до 49 лет) относятся: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древесных соков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второстепенных древесных 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сенокошение и пастьба скота;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пользование участками ГЛФ для нужд охотничьего хозяйства, научно-исследовательских, культурно-оздоровительных, рекреационных, туристских и спортивных целей.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краткосрочным видам лесопользования (до одного года) относятся: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побочные лесные пользования, связанные с заготовкой или сбором плодов, орехов, грибов, ягод, других пищевых продуктов леса, лекарственных растений, технического сырья, мха, лесной подстилки и опавших листьев, камыша;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побочные лесные пользования, основанные на использовании участков лесного фонда для сенокошения, пастьбы скота, мараловодства, звероводства, размещения ульев и пасек, огородничества, бахчеводства и выращивания иных сельскохозяйственных культур;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пользование участками государственного лесного фонда для научно-исследовательских, культурно-оздоровительных, рекреационных, туристских и спортивных целей.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Измерение лесных пользований, в зависимости от их вида и специфических особенностей, осуществляется: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площади (в гектарах);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объему (в складочных кубических метрах);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весу (в килограммах, центнерах и тоннах);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количеству (в штуках),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свежем (сырорастущем) состоянии.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Ставки платы за лесные пользования дифференцируются в зависимости от качества лесных ресурсов (урожайность, продуктивность), а также по коэффициентам, учитывающим потребительскую ценность, удаленность от транспортных путей и мест сбыта.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Ставки платы за лесные пользования по методу рыночных цен устанавливаются путем определения разницы между рыночными ценами и затратами на заготовку и транспортировку единицы их объема применительно к видам лесных ресурсов, по которым трудно подсчитать затраты на их воспроизводство (живица, древесные соки, грибы, ягоды и другие).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установления ставок платы за лесные пользования по тем видам лесных ресурсов, которые пока не вышли на рынок и не имеют рыночной цены, используются экспертные оценки специалистов.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Ставки платы за второстепенные древесные ресурсы и побочные лесные пользования устанавливаются по методу затрат на воспроизводство лесных ресурсов в расчете на единицу их объема или площади, а при отсутствии затрат на их воспроизводство, ставки платы устанавливаются с учетом удельных затрат на все лесное хозяйство конкретной области в соответствии с данными, учитываемыми по показателям,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 или по нескольким направлениям его деятельности, включая затраты местного и республиканского бюджетов.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Суммы затрат на лесное хозяйство и ООПТ, нужные для расчета ставок платы за лесные пользования, устанавливаются на основе сводных планов лесохозяйственных мероприятий по охране, защите, воспроизводству лесов и лесоразведению областей и спецификаций бюджетных программ по последнему отчетному году в соответствии с показателями,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Затраты, которые на уровне областей регистрируются периодически или фиксируются лишь на республиканском уровне (лесоустройство,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авиационная охрана лесов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приобретение основных средств и другие), определяются по отчетам уполномоченного органа в области лесного хозяйства (далее - уполномоченный орган) за последний отчетный год.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Затраты на воспроизводство лесов по основным их разделам в соответствии с показателями,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указаниям, позволяют получить удельные их размеры в двух вариантах: в расчете на 1 гектар общей площади ГЛФ в соответствии с данными графы 4 и на 1 гектар покрытых лесом земель ГЛФ в соответствии с данными графы 5, которые в дальнейшем в зависимости от их отношения к конкретным видам лесных пользований будут применяться при определении ставок платы за них. 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 ставок платы за заготовку живицы и древесных соков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Ставки платы за заготовку живицы и за заготовку древесных соков рассчитываются в соответствии со схемой установления ставок платы за заготовку живицы и древесных соков,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указаниям, и устанавливаются раздельно в расчете на каждый гектар леса, предоставленный в долгосрочное лесопользование, и на каждый центнер живицы и древесных соков, получаемый при подсочке деревьев.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Ставки платы за заготовку живицы по площади рассчитываются на 1 год на основе ежегодной суммы удельных затрат на 1 гектар покрытых лесом земель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 на все лесное хозяйство, так как подсочке подвергаются спелые и перестойные насаждения хвойных пород, которые при подсочке должны возместить определенную часть затрат на их выращивание.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Ставки платы за заготовку древесных соков по площади рассчитываются на 1 год на основе половины ежегодной суммы удельных затрат на 1 гектар покрытых лесом земель в соответствии с данными графы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 на все лесное хозяйство, так как подсочке подвергаются березовые насаждения, возраст спелости которых в 2 раза меньше, чем у хвойных.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Ставки платы за заготовку живицы и древесных соков по площади предназначаются для определения размера платы за лесные ресурсы, предоставляемые в долгосрочное лесопользование.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Ставки платы за каждый центнер добытой живицы и древесных соков рассчитываются по разнице между рыночными ценами на них и затратами на их заготовку, хранение, транспортировку и реализацию, которая не должна быть менее 25 % и 40 % соответствующих рыночных цен, так как трудоемкость их добычи различаются значительно.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случаях, когда фактические ставки платы за заготовку одного центнера живицы и древесных соков, установленные по разнице между рыночными ценами и затратами на их заготовку, хранение, транспортировку и реализацию, окажутся менее 25 % и 40 % соответствующих рыночных цен, то вместо них применяются ставки платы, рассчитанные на уровне 25 % и 40 % их рыночных цен соответственно. 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 ставок платы за заготовку второстепенных</w:t>
      </w:r>
      <w:r>
        <w:br/>
      </w:r>
      <w:r>
        <w:rPr>
          <w:rFonts w:ascii="Times New Roman"/>
          <w:b/>
          <w:i w:val="false"/>
          <w:color w:val="000000"/>
        </w:rPr>
        <w:t>древесных ресурсов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Ставки платы за заготовку второстепенных древесных ресурсов устанавливаются только в расчете на единицу веса для каждого их вида: коры, ветвей, пней, корней, листьев, почек в соответствии со схемой установления ставок платы за заготовку второстепенных древесных пород,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Ставки платы за заготовку второстепенных древесных ресурсов, в зависимости от их вида, определяются по ставкам платы за древесину, отпускаемую на корню, за 1 плотный кубометр дровяной древесины соответствующей породы,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506 Кодекса Республики Казахстан "О налогах и других обязательных платежах в бюджет" (Налоговый кодекс) по процентам,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9 к настоящим Методическим указаниям.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 ставкам платы за заготовку второстепенных древесных ресурсов, установленным согласно пункта 30 настоящих Методических указаний, применяются повышающие и понижающие коэффициенты,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506 Кодекса Республики Казахстан "О налогах и других обязательных платежах в бюджет" (Налоговый кодекс). 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Расчет ставок платы за побочные лесные пользования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Ставки платы за побочные лесные пользования на участках ГЛФ устанавливаются в соответствии со схемой установления ставок платы за побочные лесные пользования на участках ГЛФ,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Все разнообразие побочных лесных пользований с изъятием лесных ресурсов, в целях сокращения существующего многообразия цен, классифицируется по группам,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9 к настоящим Методическим указаниям.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Ставки платы за лесные пользования,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9, определяются в соответствии со схемой установления ставок платы за побочные лесные пользования на участках ГЛФ,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указаниям, и устанавливаются по разнице между рыночными ценами и суммой затрат на их заготовку, обработку, транспортировку и реализацию.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Рыночные цены за лесные ресурсы,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9 к настоящим Методическим указаниям, определяются по месту осуществления лесных пользований в сезон их массового сбора и заготовок.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Уровень ставок платы за отдельные виды побочных лесных пользований зависит от фактической трудоемкости лесопользования, но не может быть менее 40 % рыночной цены для всех видов орехов, плодов и ягод, а также менее 30 % рыночной цены для отдельных частей лекарственных растений и технического сырья, за исключением почек и корней, которые вместе с остальными видами ресурсов (мхи, лесная подстилка, опавшие листья, камыш) имеют 20 % порог.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на местах отдельные виды ресурсов побочных лесных пользований еще не имеют устоявшейся рыночной цены, то ставки платы за них устанавливаются, либо по ставкам платы, используемым в соседних регионах со сходными условиями, либо путем экспертных оценок специалистов.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ставки платы за использование участков ГЛФ в порядке побочных лесных пользований не должны быть ниже размеров ставок земельного налога.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Ставки платы за лесные побочные пользования в виде сенокошения, пастьбы скота, размещения ульев и пасек устанавливаются по сумме ежегодных удельных затрат на проведение лесоустроительных работ, наземной и авиационной охраны лесов, административно-управленческих и контрольно-инспекционных функций в расчете на 1 гектар ГЛФ согласно приложения 4 к настоящим Методическим указаниям и в соответствии со схемой установления ставок платы за побочные лесные пользования на участках ГЛФ,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определения конкретных размеров ставок платы за сенокосные угодья сумма ежегодных удельных затрат на 1 гектар ГЛФ, определяемых согласно пункта 39 настоящих Методических указаний, дифференцируются по трем группам их качественного состояния: хорошее - коэффициент 1,2 (К=1,2), удовлетворительное - коэффициент 0,9 (К=0,9) и плохое - коэффициент 0,7 (К=0,7).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Ежегодная сумма удельных затрат на содержание 1 гектара пастбищных угодий устанавливается на уровне ставки платы за сенокосы неудовлетворительного качества.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Расчет ставки платы за пастьбу одной головы сельскохозяйственных животных осуществляется через норму площади, установленную для выпаса крупного рогатого скота, путем ее умножения на возможную сумму оплаты за использование 1 гектара пастбищных угодий, определенную согласно пункту 41 настоящих Методических указаний.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платы за пастьбу 1 головы скота по остальным группам животных устанавливаются по процентным соотношениям,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9.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Ставки платы за размещение одного улья на участках государственного лесного фонда определяются на уровне суммы удельных затрат, устанавливаемых согласно пункта 39 настоящих Методических указаний.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Ставки платы за пользование участками ГЛФ для звероводства и мараловодства определяются по сумме удельных затрат на проведение лесоустроительных работ, наземной и авиационной охраны, административно-управленческих и контрольно-инспекционных функций на 1 гектар покрытых лесом земель ГЛФ,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 с учетом нормативной плотности содержания зверей и маралов на единице площади.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Ставки платы за использование участков лесного фонда для огородничества, бахчеводства и выращивания иных сельскохозяйственных культур, для нужд охотничьего хозяйства устанавливаются на уровне земельных налогов, определенных налоговым  законодательством. 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Расчет ставок платы за пользование участками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лесного фонда для нужд охотничьего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в научно-исследовательских, культурно-оздоровительных, </w:t>
      </w:r>
      <w:r>
        <w:br/>
      </w:r>
      <w:r>
        <w:rPr>
          <w:rFonts w:ascii="Times New Roman"/>
          <w:b/>
          <w:i w:val="false"/>
          <w:color w:val="000000"/>
        </w:rPr>
        <w:t>туристских, рекреационных и спортивных целях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Пользование участками ГЛФ для нужд охотничьего хозяйства, в научно-исследовательских, культурно-оздоровительных, рекреационных, туристских и спортивных целях осуществляются в порядке краткосрочного и долгосрочного лесопользования, в соответствии с распределением видов лесных пользований по срокам,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указаниям, а также схемы установления ставок платы за пользованиями участками ГЛФ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Из числа видов лесных пользований, указанных в пункте 45 настоящих Методических указаний, пользование участками лесного фонда для нужд охотничьего хозяйства осуществляется только в порядке долгосрочного лесопользования, а все остальные - как в порядке краткосрочного, так и в порядке долгосрочного лесопользования.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Ставки платы при краткосрочном лесопользовании устанавливаются в тенге за каждый день пребывания, а при долгосрочном - в расчете за 1 гектар используемой площади.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Ставки платы за краткосрочное пользование участками ГЛФ в научно-исследовательских, культурно-оздоровительных, рекреационных, туристских и спортивных целях устанавливаются в размере 0,1 месячного расчетного показателя в расчете за каждый день пребывания.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Ставки платы за долгосрочное лесопользование участками ГЛФ в научно-исследовательских и культурно-оздоровительных целях устанавливаются в размере половины ежегодной суммы удельных затрат на лесоустройство, наземную и авиационную охрану лесов, административно-управленческие и контрольно-инспекционные функции в расчете на 1 гектар ГЛФ согласно данных графы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Ставки платы за долгосрочное лесопользование участками ГЛФ в рекреационных, туристских и спортивных целях устанавливаются на уровне ежегодной суммы удельных затрат на лесоустройство, наземную и авиационную охрану лесов, административно-управленческие и контрольно-инспекционные функции в расчете на 1 гектар ГЛФ, согласно данных графы 5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Методическим указаниям.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долгосрочном лесопользовании участками ГЛФ для нужд охотничьего хозяйства устанавливаются нулевые ставки платы.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формирования и базовые компоненты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общей экономической оценки лесов 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4262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сумма затрат на охрану, защиту, </w:t>
      </w:r>
      <w:r>
        <w:br/>
      </w:r>
      <w:r>
        <w:rPr>
          <w:rFonts w:ascii="Times New Roman"/>
          <w:b/>
          <w:i w:val="false"/>
          <w:color w:val="000000"/>
        </w:rPr>
        <w:t>воспроизводство лесов и лесоразведение</w:t>
      </w:r>
      <w:r>
        <w:br/>
      </w:r>
      <w:r>
        <w:rPr>
          <w:rFonts w:ascii="Times New Roman"/>
          <w:b/>
          <w:i w:val="false"/>
          <w:color w:val="000000"/>
        </w:rPr>
        <w:t>по ____________________ области за _______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7664"/>
        <w:gridCol w:w="938"/>
        <w:gridCol w:w="989"/>
        <w:gridCol w:w="993"/>
      </w:tblGrid>
      <w:tr>
        <w:trPr>
          <w:trHeight w:val="30" w:hRule="atLeast"/>
        </w:trPr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7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га,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ГЛФ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ГЛФ 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Лесоустройство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селекционно-семеноводческие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сеянцев и саженцев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лесных культур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естественному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возобновлению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лесных насаждений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неудобных землях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лесными культурами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 ухода и выборочные сани-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тарные рубки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Лесозащитные работы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Наземная охрана лесов,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ПХС, временных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сторожей, связь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Авиационная охрана лесов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продуктивности лесов,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земельных угодий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территорий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материально-техни-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базы (приобретение,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строительство, ремонт и др.)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инновационных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включая международные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Подготовка, повышение квалифи-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переподготовка кадров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Административно-управленческая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Контрольно-инспекционная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лесных пользований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(отвод участков)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расходов на лесное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(со строки 1 по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строку)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затрат на лесоуст-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ройство, проектно-изыска-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селекционно-семе-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новодческие работы, наземную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авиационную охрану лесов,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административно-управленческую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контрольно-инспекционную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стр. + 2 стр. + 9 стр.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стр. + 15 стр. + 16 стр.)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заготовку</w:t>
      </w:r>
      <w:r>
        <w:br/>
      </w:r>
      <w:r>
        <w:rPr>
          <w:rFonts w:ascii="Times New Roman"/>
          <w:b/>
          <w:i w:val="false"/>
          <w:color w:val="000000"/>
        </w:rPr>
        <w:t xml:space="preserve">живицы и древесных соков 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65786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заготовку</w:t>
      </w:r>
      <w:r>
        <w:br/>
      </w:r>
      <w:r>
        <w:rPr>
          <w:rFonts w:ascii="Times New Roman"/>
          <w:b/>
          <w:i w:val="false"/>
          <w:color w:val="000000"/>
        </w:rPr>
        <w:t xml:space="preserve">второстепенных древесных ресурсов 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2263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 за побочные</w:t>
      </w:r>
      <w:r>
        <w:br/>
      </w:r>
      <w:r>
        <w:rPr>
          <w:rFonts w:ascii="Times New Roman"/>
          <w:b/>
          <w:i w:val="false"/>
          <w:color w:val="000000"/>
        </w:rPr>
        <w:t xml:space="preserve">лесные пользования на участках ГЛФ 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установления ставок платы</w:t>
      </w:r>
      <w:r>
        <w:br/>
      </w:r>
      <w:r>
        <w:rPr>
          <w:rFonts w:ascii="Times New Roman"/>
          <w:b/>
          <w:i w:val="false"/>
          <w:color w:val="000000"/>
        </w:rPr>
        <w:t xml:space="preserve">за пользование участками ГЛФ для нужд охотничьего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научно-исследовательских, культурно-оздоровительных,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рекреационных, туристских и спортивных целей 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8199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указаниям по расчету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лесные пользования в государственном лесном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особо охраняемых природных территориях</w:t>
            </w:r>
          </w:p>
        </w:tc>
      </w:tr>
    </w:tbl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Таблица 1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878"/>
        <w:gridCol w:w="1878"/>
        <w:gridCol w:w="1502"/>
        <w:gridCol w:w="1879"/>
        <w:gridCol w:w="1879"/>
        <w:gridCol w:w="1879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второстепенных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ресурсов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от 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1 плотный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дровяной древе-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соответствую-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породы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20 %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5 %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15 %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Таблица 2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растения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сырье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грец-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тки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мхи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подстилка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опавшие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чий 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Таблица 3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1943"/>
        <w:gridCol w:w="1430"/>
        <w:gridCol w:w="1430"/>
        <w:gridCol w:w="1430"/>
        <w:gridCol w:w="1431"/>
        <w:gridCol w:w="1431"/>
        <w:gridCol w:w="1431"/>
      </w:tblGrid>
      <w:tr>
        <w:trPr>
          <w:trHeight w:val="30" w:hRule="atLeast"/>
        </w:trPr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скот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скот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Ишак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Коза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Овца 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ставок, %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