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0f8e" w14:textId="c8b0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марта 2009 года № 63. Зарегистрировано в Министерстве юстиции Республики Казахстан 5 мая 2009 года № 5665. Утратило силу постановлением Правления Национального Банка Республики Казахстан от 27 августа 2014 года № 167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27.08.2014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по вопросам ведения системы реестров держателей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25 февраля 2006 года № 62 "Об утверждении Правил ведения системы реестров держателей ценных бумаг" (зарегистрированное в Реестре государственной регистрации нормативных правовых актов под № 4175),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12 августа 2006 года № 148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(зарегистрированным в Реестре государственной регистрации нормативных правовых актов под № 4365),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23 февраля 2007 года № 36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(зарегистрированным в Реестре государственной регистрации нормативных правовых актов под № 4599, опубликованным в марте-апреле 2007 года в Собрании актов центральных исполнительных и иных центральных государственных органов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мае-июле 2007 года в Собрании актов центральных исполнительных и иных центральных государственных органов Республики Казахстан),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25 июня 2007 года № 172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(зарегистрированным в Реестре государственной регистрации нормативных правовых актов под № 4842),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28 марта 2008 года № 39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(зарегистрированным в Реестре государственной регистрации нормативных правовых актов под № 5218),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29 декабря 2008 года № 237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62 "Об утверждении Правил ведения системы реестров держателей ценных бумаг" (зарегистрированным в Реестре государственной регистрации нормативных правовых актов под № 5541, опубликованным 6 марта 2009 года в газете "Юридическая газета" № 35 (1632))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ведения системы реестров держателей ценных бумаг,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реестр держателей ценных бумаг - совокупность сведений о держателях ценных бумаг на определенную дату, позволяющих идентифицировать этих держателей, а также вид и количество принадлежащих им ценных бумаг; </w:t>
      </w:r>
      <w:r>
        <w:br/>
      </w:r>
      <w:r>
        <w:rPr>
          <w:rFonts w:ascii="Times New Roman"/>
          <w:b w:val="false"/>
          <w:i w:val="false"/>
          <w:color w:val="000000"/>
          <w:sz w:val="28"/>
        </w:rPr>
        <w:t xml:space="preserve">
      2) лицевой счет держателя ценных бумаг - лицевой счет, открытый зарегистрированному лицу в системе реестров, являющемуся собственником ценных бумаг и (или) центральным депозитарием, по которому осуществляется регистрация сделок и учет прав по эмиссионным ценным бумагам; </w:t>
      </w:r>
      <w:r>
        <w:br/>
      </w:r>
      <w:r>
        <w:rPr>
          <w:rFonts w:ascii="Times New Roman"/>
          <w:b w:val="false"/>
          <w:i w:val="false"/>
          <w:color w:val="000000"/>
          <w:sz w:val="28"/>
        </w:rPr>
        <w:t xml:space="preserve">
      3) лицевой счет эмитента для учета объявленных ценных бумаг - лицевой счет, открытый эмитенту в системе реестров, по которому осуществляется учет не размещенных эмиссионных ценных бумаг; </w:t>
      </w:r>
      <w:r>
        <w:br/>
      </w:r>
      <w:r>
        <w:rPr>
          <w:rFonts w:ascii="Times New Roman"/>
          <w:b w:val="false"/>
          <w:i w:val="false"/>
          <w:color w:val="000000"/>
          <w:sz w:val="28"/>
        </w:rPr>
        <w:t xml:space="preserve">
      4) единая система лицевых счетов - сформированная центральным депозитарием база данных, отражающая совокупность сведений, содержащихся в системах реестров держателей ценных бумаг, ведение которых осуществляется регистраторами; </w:t>
      </w:r>
      <w:r>
        <w:br/>
      </w:r>
      <w:r>
        <w:rPr>
          <w:rFonts w:ascii="Times New Roman"/>
          <w:b w:val="false"/>
          <w:i w:val="false"/>
          <w:color w:val="000000"/>
          <w:sz w:val="28"/>
        </w:rPr>
        <w:t xml:space="preserve">
      5) исламские ценные бумаги – исламские арендные сертификаты и исламские сертификаты участия; </w:t>
      </w:r>
      <w:r>
        <w:br/>
      </w:r>
      <w:r>
        <w:rPr>
          <w:rFonts w:ascii="Times New Roman"/>
          <w:b w:val="false"/>
          <w:i w:val="false"/>
          <w:color w:val="000000"/>
          <w:sz w:val="28"/>
        </w:rPr>
        <w:t xml:space="preserve">
      6) операционный день - период времени, в течение которого регистратор осуществляет прием, обработку приказов, регистрацию операций по лицевым счетам и информационные операции; </w:t>
      </w:r>
      <w:r>
        <w:br/>
      </w:r>
      <w:r>
        <w:rPr>
          <w:rFonts w:ascii="Times New Roman"/>
          <w:b w:val="false"/>
          <w:i w:val="false"/>
          <w:color w:val="000000"/>
          <w:sz w:val="28"/>
        </w:rPr>
        <w:t xml:space="preserve">
      7) оригинатор — исламский банк, национальный холдинг, национальный управляющий холдинг, юридические лица, сто процентов голосующих акций (долей участия) которых принадлежат национальному управляющему холдингу (при наличии согласия национального управляющего холдинга), передающие активы исламской специальной финансовой компании на основании договора купли-продажи и (или) являющиеся учредителями исламской специальной финансовой компании; </w:t>
      </w:r>
      <w:r>
        <w:br/>
      </w:r>
      <w:r>
        <w:rPr>
          <w:rFonts w:ascii="Times New Roman"/>
          <w:b w:val="false"/>
          <w:i w:val="false"/>
          <w:color w:val="000000"/>
          <w:sz w:val="28"/>
        </w:rPr>
        <w:t xml:space="preserve">
      8) лицевой счет общего представителя - лицевой счет, открытый общему представителю участников общей собственности в системе реестров, по которому осуществляется учет ценных бумаг, принадлежащих на праве собственности нескольким лицам; </w:t>
      </w:r>
      <w:r>
        <w:br/>
      </w:r>
      <w:r>
        <w:rPr>
          <w:rFonts w:ascii="Times New Roman"/>
          <w:b w:val="false"/>
          <w:i w:val="false"/>
          <w:color w:val="000000"/>
          <w:sz w:val="28"/>
        </w:rPr>
        <w:t xml:space="preserve">
      9) лицевой счет паевого инвестиционного фонда для учета размещенных паев - лицевой счет в системе реестров, по которому осуществляется учет количества размещенных паев паевого инвестиционного фонда, находящихся в обращении; </w:t>
      </w:r>
      <w:r>
        <w:br/>
      </w:r>
      <w:r>
        <w:rPr>
          <w:rFonts w:ascii="Times New Roman"/>
          <w:b w:val="false"/>
          <w:i w:val="false"/>
          <w:color w:val="000000"/>
          <w:sz w:val="28"/>
        </w:rPr>
        <w:t xml:space="preserve">
      10) лицевой счет эмитента для учета выкупленных ценных бумаг - лицевой счет, открытый эмитенту в системе реестров, по которому осуществляется учет эмиссионных ценных бумаг, выкупленных эмитентом на вторичном рынке ценных бумаг; </w:t>
      </w:r>
      <w:r>
        <w:br/>
      </w:r>
      <w:r>
        <w:rPr>
          <w:rFonts w:ascii="Times New Roman"/>
          <w:b w:val="false"/>
          <w:i w:val="false"/>
          <w:color w:val="000000"/>
          <w:sz w:val="28"/>
        </w:rPr>
        <w:t xml:space="preserve">
      11) операция в системе реестров - совокупность действий регистратора, результатом которых является внесение данных в систему реестров или их изменение и (или) подготовка и предоставление информации из системы реестров; </w:t>
      </w:r>
      <w:r>
        <w:br/>
      </w:r>
      <w:r>
        <w:rPr>
          <w:rFonts w:ascii="Times New Roman"/>
          <w:b w:val="false"/>
          <w:i w:val="false"/>
          <w:color w:val="000000"/>
          <w:sz w:val="28"/>
        </w:rPr>
        <w:t xml:space="preserve">
      12) уполномоченный орган - государственный орган, осуществляющий регулирование и надзор за рынком ценных бумаг."; </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 xml:space="preserve">пункта 5 </w:t>
      </w:r>
      <w:r>
        <w:rPr>
          <w:rFonts w:ascii="Times New Roman"/>
          <w:b w:val="false"/>
          <w:i w:val="false"/>
          <w:color w:val="000000"/>
          <w:sz w:val="28"/>
        </w:rPr>
        <w:t xml:space="preserve">после слова "облигаций" дополнить словами ", исламских ценных бумаг";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5) после слова "облигаций" дополнить словами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подпункт 6) после слова "облигаций" дополнить словами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подпункт 7) после слова "облигаций" дополнить словами ", исламских ценных бумаг";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после слова "облигаций" дополнить словами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после слов "уведомления эмитента" дополнить словом "(оригинатора)"; </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 xml:space="preserve">пункта 49 </w:t>
      </w:r>
      <w:r>
        <w:rPr>
          <w:rFonts w:ascii="Times New Roman"/>
          <w:b w:val="false"/>
          <w:i w:val="false"/>
          <w:color w:val="000000"/>
          <w:sz w:val="28"/>
        </w:rPr>
        <w:t xml:space="preserve">после слова "облигаций" дополнить словами "(исламских ценных бумаг)"; </w:t>
      </w:r>
      <w:r>
        <w:br/>
      </w:r>
      <w:r>
        <w:rPr>
          <w:rFonts w:ascii="Times New Roman"/>
          <w:b w:val="false"/>
          <w:i w:val="false"/>
          <w:color w:val="000000"/>
          <w:sz w:val="28"/>
        </w:rPr>
        <w:t>
</w:t>
      </w:r>
      <w:r>
        <w:rPr>
          <w:rFonts w:ascii="Times New Roman"/>
          <w:b w:val="false"/>
          <w:i w:val="false"/>
          <w:color w:val="000000"/>
          <w:sz w:val="28"/>
        </w:rPr>
        <w:t>
      графу пятую таблицы второй </w:t>
      </w:r>
      <w:r>
        <w:rPr>
          <w:rFonts w:ascii="Times New Roman"/>
          <w:b w:val="false"/>
          <w:i w:val="false"/>
          <w:color w:val="000000"/>
          <w:sz w:val="28"/>
        </w:rPr>
        <w:t xml:space="preserve">приложения 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tblGrid>
      <w:tr>
        <w:trPr>
          <w:trHeight w:val="315"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погашения облигаций (исламских ценных бумаг) </w:t>
            </w:r>
          </w:p>
        </w:tc>
      </w:tr>
    </w:tbl>
    <w:bookmarkStart w:name="z15" w:id="1"/>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 за исключением абзаца восьмого пункта 1 настоящего постановления, который вводится в действие с 1 января 2010 года.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1"/>
    <w:p>
      <w:pPr>
        <w:spacing w:after="0"/>
        <w:ind w:left="0"/>
        <w:jc w:val="both"/>
      </w:pPr>
      <w:r>
        <w:rPr>
          <w:rFonts w:ascii="Times New Roman"/>
          <w:b w:val="false"/>
          <w:i/>
          <w:color w:val="000000"/>
          <w:sz w:val="28"/>
        </w:rPr>
        <w:t xml:space="preserve">      Председатель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