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20b8" w14:textId="95a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Зыряновского районного маслихата Восточно-Казахстанской области от 25 декабря 2008 года N 15/3-IV. Зарегистрировано управлением юстиции Зыряновского района Департамента юстиции Восточно-Казахстанской области 31 декабря 2008 года за N 5-12-74.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  (письмо Зыряновского маслихата от 16.03.2010 № 02-05-81).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19 декабря 2008 года № 10/129-IV «Об областном бюджете на 2009 год» (зарегистрировано в Реестре государственной регистрации нормативных правовых актов № 2491),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2799903,7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1 613 886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11 724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1151271,7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2817468,4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–17 564,7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– 17 564,7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Зыряновского района от 25.11.2009 </w:t>
      </w:r>
      <w:r>
        <w:rPr>
          <w:rFonts w:ascii="Times New Roman"/>
          <w:b w:val="false"/>
          <w:i w:val="false"/>
          <w:color w:val="00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Зачисление налоговых поступлений в бюджет района производить по нормативам распределения доходов,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Восточно-Казахстанского областного маслихата от 19 декабря 2008 года № 10/129-IV «Об областном бюджете на 2009 год»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передаваемой из областного бюджета в бюджет района на 2009 год, в сумме 624902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социального обеспечения, образования, культуры,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Резерв местного исполнительного органа на 2009 год определить в сумме 25398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- 15754,4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- 9643,6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Зыряновского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№ 23/5-IV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расходов по администраторам бюджетных программ акимов городов районного значения, поселков, аулов (сел),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бюджета района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района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2009 год предусмотрены трансферты из областного бюджета в сумме 65095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- 32689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 погибших в Афганистане - 60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- 216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- 724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молодым специалистам (учителям, врачам), желающим работать в селах и аулах после завершения учебного заведения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обучения детей из малообеспеченных семей в высших учебных заведениях (стоимость обучения, стипендии, проживание в общежитии) - 10196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 - 1510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имеющим 4 и более совместно проживающих несовершеннолетних детей - 1490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теплоснабжения города Зыряновска в целях предупреждения чрезвычайной ситуации - 14394 тысяч тенге, города Серебрянска - 3816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Зыряновского района от 23.04.2009 </w:t>
      </w:r>
      <w:r>
        <w:rPr>
          <w:rFonts w:ascii="Times New Roman"/>
          <w:b w:val="false"/>
          <w:i w:val="false"/>
          <w:color w:val="00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22.07.2009 </w:t>
      </w:r>
      <w:r>
        <w:rPr>
          <w:rFonts w:ascii="Times New Roman"/>
          <w:b w:val="false"/>
          <w:i w:val="false"/>
          <w:color w:val="000000"/>
          <w:sz w:val="28"/>
        </w:rPr>
        <w:t>№ 21/5-IV;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23.10.2009 </w:t>
      </w:r>
      <w:r>
        <w:rPr>
          <w:rFonts w:ascii="Times New Roman"/>
          <w:b w:val="false"/>
          <w:i w:val="false"/>
          <w:color w:val="000000"/>
          <w:sz w:val="28"/>
        </w:rPr>
        <w:t>№ 23/5-IV.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2009 год предусмотрены трансферты из республиканского бюджета в сумме 461190,7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из республиканского бюджета в общей сумме 328243,7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4860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в Республике Казахстан на 2005-2010 годы в сумме 25318,8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7620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5263,8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12435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сети отделений дневного пребывания в медико-социальных учреждениях в сумме 13941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реализации мер социальной поддержки специалистов социальной сферы сельских населенных пунктов в сумме 1364,9 тысяч тенге, в том числе,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образования – 1364,9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культуры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спорта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здравоохранения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расширение программы социальных рабочих мест и молодежной практики в сумме 14228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4649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9579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занятости в рамках реализации стратегии региональной занятости и переподготовки кадров в общей сумме 268699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- 128805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культуры в рамках реализации стратегии региональной занятости и переподготовки кадров 16121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 67061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45302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ремонт, текущий ремонт объектов образования - 11326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на развитие из республиканского бюджета на развитие системы водоснабжения в общей сумме 132947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поселке Октябрьский Зыряновского района Восточно-Казахстанской области – 132947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Зыряновского района от 19.02.2009 </w:t>
      </w:r>
      <w:r>
        <w:rPr>
          <w:rFonts w:ascii="Times New Roman"/>
          <w:b w:val="false"/>
          <w:i w:val="false"/>
          <w:color w:val="000000"/>
          <w:sz w:val="28"/>
        </w:rPr>
        <w:t>№ 17/4-IV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9-1 с изменениями, внесенными решениями от 23.04.2009 </w:t>
      </w:r>
      <w:r>
        <w:rPr>
          <w:rFonts w:ascii="Times New Roman"/>
          <w:b w:val="false"/>
          <w:i w:val="false"/>
          <w:color w:val="00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22.07.2009 </w:t>
      </w:r>
      <w:r>
        <w:rPr>
          <w:rFonts w:ascii="Times New Roman"/>
          <w:b w:val="false"/>
          <w:i w:val="false"/>
          <w:color w:val="000000"/>
          <w:sz w:val="28"/>
        </w:rPr>
        <w:t>№ 21/5-IV;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25.11.2009 </w:t>
      </w:r>
      <w:r>
        <w:rPr>
          <w:rFonts w:ascii="Times New Roman"/>
          <w:b w:val="false"/>
          <w:i w:val="false"/>
          <w:color w:val="00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Байбуринов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№ 15/3-IV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Зыряновского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№ 23/5-IV;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от 25.11.2009 </w:t>
      </w:r>
      <w:r>
        <w:rPr>
          <w:rFonts w:ascii="Times New Roman"/>
          <w:b w:val="false"/>
          <w:i w:val="false"/>
          <w:color w:val="ff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9"/>
        <w:gridCol w:w="630"/>
        <w:gridCol w:w="630"/>
        <w:gridCol w:w="8392"/>
        <w:gridCol w:w="2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2799903,7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1613886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иностранных граждан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752015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511766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 индивидуальных предпринимателей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6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0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разждражающими веществами, пневмотического оружия с дульной энергией не более 7,5 ДЖ и калибра до 4,5 мм включительно)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предоставленных гос.учреждениями, финансируемыми из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1151271,7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393422,7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09"/>
        <w:gridCol w:w="709"/>
        <w:gridCol w:w="730"/>
        <w:gridCol w:w="944"/>
        <w:gridCol w:w="7183"/>
        <w:gridCol w:w="27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1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2817468,4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200891,8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169970,1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</w:p>
        </w:tc>
      </w:tr>
      <w:tr>
        <w:trPr>
          <w:trHeight w:val="11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1495881,2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1307734,8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1244372,8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1244372,8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80963,4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256095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13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44294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343876,4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289573,4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2497,4</w:t>
            </w:r>
          </w:p>
        </w:tc>
      </w:tr>
      <w:tr>
        <w:trPr>
          <w:trHeight w:val="7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137902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153400,6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56508,6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69875,5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12866,9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167048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9643,6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 Р. Хамитов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15/3-IV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Зыряновского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№ 23/5-IV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42"/>
        <w:gridCol w:w="742"/>
        <w:gridCol w:w="849"/>
        <w:gridCol w:w="807"/>
        <w:gridCol w:w="7688"/>
        <w:gridCol w:w="2801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бюджетных программ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44728,4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 Г. Бушкова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15/3-IV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решением маслихата Зыряновского района от 19.02.2009 </w:t>
      </w:r>
      <w:r>
        <w:rPr>
          <w:rFonts w:ascii="Times New Roman"/>
          <w:b w:val="false"/>
          <w:i w:val="false"/>
          <w:color w:val="ff0000"/>
          <w:sz w:val="28"/>
        </w:rPr>
        <w:t>№ 17/4-IV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Зыряновского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2009 год с разделением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933"/>
        <w:gridCol w:w="2033"/>
        <w:gridCol w:w="7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  характера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  областного значения)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объектов образования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 Г. Бушкова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15/3-IV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Зыряновского района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01"/>
        <w:gridCol w:w="815"/>
        <w:gridCol w:w="10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 Г. 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