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3c2c" w14:textId="4753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объектов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июля 2008 года N 10/7-IV. Зарегистрировано Управлением юстиции города Риддера департамента юстиции Восточно-Казахстанской области 22 июля 2008 года за N 5-4-96. Утратило силу решением Риддерского городского маслихата Восточно-Казахстанской области от 29 января 2009 года N 14/9-IV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Риддерского городского маслихата Восточно-Казахстанской области от 29.01.2009 N 14/9-IV.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489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491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Правил размещения объектов наружной (визуальной) рекламы в населенных пунктах"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ежемесячную ставку платы в размере 0,5 МРП (месячного расчетного показателя) за один квадратный метр за размещение наружной (визуальной) рекламы на объектах стационарного размещения рекламы в полосе отвода автомобильных дорог общего пользования местного значения и на открытом пространстве за пределами помещений в населенных пунктах на территории г.Риддера в виде плакатов, стендов, световых табло, билбордов, транспарантов, афиш и других объектов наружной (визуальной) рекламы,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регистрации в органах юстиции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маслихата от 18 октября 2006 года № 28/6-III "О ставках платы за размещение объектов наружной (визуальной) рекламы зарегистрировано в Реестре государственной регистрации нормативных правовых актов за номером 5-4-46 от 21 ноября 2006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  О.СОЛОННИКОВ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А.ЕРМАКОВ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