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190" w14:textId="f155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26 декабря 2008 года N 14/101-IV. Зарегистрировано Управлением юстиции города Курчатова Департамента юстиции Восточно-Казахстанской области 6    января 2009 года за N 5-3-64.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№ 548,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19 декабря 2008 года № 10/129-IV «Об областном бюджете на 2009 год» (зарегистрировано в Реестре государственной регистрации нормативных правовых актов 30 декабря 2008 года, регистрационный номер 2491)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Курчатова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705581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393956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713094,3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-6999,3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6999,3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Курчатовского городского маслихата Восточно-Казахстанской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N 20/146-IV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N 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24.11.2009 </w:t>
      </w:r>
      <w:r>
        <w:rPr>
          <w:rFonts w:ascii="Times New Roman"/>
          <w:b w:val="false"/>
          <w:i w:val="false"/>
          <w:color w:val="000000"/>
          <w:sz w:val="28"/>
        </w:rPr>
        <w:t>N 22/174-IV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93.6%.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Курчатовского городского маслихата Восточно-Казахстанской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N 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отделу казначейства с 1 января 2009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2009 год объем субвенции, передаваемой из областного бюджета в сумме 12921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2009 год в сумме 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по исполнению обязательств по решению судов – 208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Курчатовского городского маслихата Восточно-Казахстанской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N 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городских бюджетных программ, не подлежащих секвестру в процессе исполнения городского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городском бюджете на 2009 год предусмотренные трансферты из областного бюджета в сумме 42300 тысяч тенге, выделенные на прочистку ливневой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Учесть предусмотренные текущие трансферты из областного бюджета в сумме 36000 тысяч тенге,выделенные на завершение капитального ремонта здания бывшего ПТШ № 1 для открытия школы с казахским языком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Курчатовского городского маслихата Восточно-Казахстанской области от 19.02.2009 </w:t>
      </w:r>
      <w:r>
        <w:rPr>
          <w:rFonts w:ascii="Times New Roman"/>
          <w:b w:val="false"/>
          <w:i w:val="false"/>
          <w:color w:val="000000"/>
          <w:sz w:val="28"/>
        </w:rPr>
        <w:t>N 16/118-IV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N 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2009 год трансферты из областного бюджета на социальную помощь отдельным категориям нуждающихся граждан в сумме 25983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26993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 тысячу тенге –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тысяч тенге – на оказание единовременной материальной помощи многодетным материям,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 тысяч тенге –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Курчатовского городского маслихата Восточно-Казахстанской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N 20/146-IV,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N 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9-1. Предусмотреть в городском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429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внедрение новых технологий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Курчатовского городского маслихата Восточно-Казахстанской области от 19.02.2009 N </w:t>
      </w:r>
      <w:r>
        <w:rPr>
          <w:rFonts w:ascii="Times New Roman"/>
          <w:b w:val="false"/>
          <w:i w:val="false"/>
          <w:color w:val="000000"/>
          <w:sz w:val="28"/>
        </w:rPr>
        <w:t>16/118-IV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Курчатовского городского маслихата Восточно-Казахстанской области от 24.11.2009 </w:t>
      </w:r>
      <w:r>
        <w:rPr>
          <w:rFonts w:ascii="Times New Roman"/>
          <w:b w:val="false"/>
          <w:i w:val="false"/>
          <w:color w:val="000000"/>
          <w:sz w:val="28"/>
        </w:rPr>
        <w:t>N 22/174-IV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Предусмотреть в городском бюджете на 2009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5286 тысяч тенге –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65700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53681 тысяча тенге – на капитальный и текущий ремонт объектов культуры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8561 тысяча тенге –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Курчатовского городского маслихата Восточно-Казахстанской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N 18/133-IV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решением Курчатовского городского маслихата Восточно-Казахстанской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N 20/146-IV</w:t>
      </w:r>
      <w:r>
        <w:rPr>
          <w:rFonts w:ascii="Times New Roman"/>
          <w:b w:val="false"/>
          <w:i w:val="false"/>
          <w:color w:val="ff0000"/>
          <w:sz w:val="28"/>
        </w:rPr>
        <w:t>.(вводится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городском бюджете предусмотренные трансферты на развитие в сумме 41565 тысячи тенге, выделенные на разработку проектно-сметной документации на реконструкцию четырех жилых домов и инженерных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Курчатовского городского маслихата Восточно-Казахстанской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20/146-IV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 Г. ГОСТЕВ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Ш. ТУЛЕУТАЕВ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14/101-IV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Курчатова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Курчатовского городского маслихата Восточно-Казахстанской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22/174-IV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18"/>
        <w:gridCol w:w="731"/>
        <w:gridCol w:w="970"/>
        <w:gridCol w:w="948"/>
        <w:gridCol w:w="6536"/>
        <w:gridCol w:w="2689"/>
      </w:tblGrid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705 581,00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393 956,00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139 650,00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129 468,0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9 282,0</w:t>
            </w:r>
          </w:p>
        </w:tc>
      </w:tr>
      <w:tr>
        <w:trPr>
          <w:trHeight w:val="9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9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138 782,0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93 627,0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53 497,0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52 791,00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28 035,0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12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26 050,0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12 095,0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7 868,00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12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15 830,0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1 254,0</w:t>
            </w:r>
          </w:p>
        </w:tc>
      </w:tr>
      <w:tr>
        <w:trPr>
          <w:trHeight w:val="12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5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7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</w:p>
        </w:tc>
      </w:tr>
      <w:tr>
        <w:trPr>
          <w:trHeight w:val="60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8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2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3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9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7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0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2 518,0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7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298 539,0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244 053,0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41 565,00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3"/>
        <w:gridCol w:w="899"/>
        <w:gridCol w:w="791"/>
        <w:gridCol w:w="856"/>
        <w:gridCol w:w="6341"/>
        <w:gridCol w:w="2628"/>
      </w:tblGrid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713 094,3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61 720,0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48 905,0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39 682,0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35 801,0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1 003,00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3 633,0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</w:tr>
      <w:tr>
        <w:trPr>
          <w:trHeight w:val="13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2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245 983,00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24 875,0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212 623,0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212 623,0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202 346,00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202 346,00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9 830,0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</w:p>
        </w:tc>
      </w:tr>
      <w:tr>
        <w:trPr>
          <w:trHeight w:val="17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60 171,0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51 571,0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16 746,0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1 341,0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1 361,0</w:t>
            </w:r>
          </w:p>
        </w:tc>
      </w:tr>
      <w:tr>
        <w:trPr>
          <w:trHeight w:val="12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3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170 063,00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44 949,00</w:t>
            </w:r>
          </w:p>
        </w:tc>
      </w:tr>
      <w:tr>
        <w:trPr>
          <w:trHeight w:val="12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42 539,0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35 332,0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105 473,00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20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79 999,0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65 700,0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14 299,0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25 474,00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5 932,00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94 892,00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9 571,00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9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66 070,00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3 274,0 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4 066,00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3 897,0</w:t>
            </w:r>
          </w:p>
        </w:tc>
      </w:tr>
      <w:tr>
        <w:trPr>
          <w:trHeight w:val="7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13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58 730,0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53 681,0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5 049,0</w:t>
            </w:r>
          </w:p>
        </w:tc>
      </w:tr>
      <w:tr>
        <w:trPr>
          <w:trHeight w:val="18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10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58 171,00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46 078,00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17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12 093,0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8 561,00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9 938,00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3 798,00</w:t>
            </w:r>
          </w:p>
        </w:tc>
      </w:tr>
      <w:tr>
        <w:trPr>
          <w:trHeight w:val="7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3 798,0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3 698,0</w:t>
            </w:r>
          </w:p>
        </w:tc>
      </w:tr>
      <w:tr>
        <w:trPr>
          <w:trHeight w:val="8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0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12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7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2 794,30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-514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-6 999,30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6 999,30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14/101-IV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Курчатовского городского маслихата Восточно-Казахстанской области от 27.10.2009 N </w:t>
      </w:r>
      <w:r>
        <w:rPr>
          <w:rFonts w:ascii="Times New Roman"/>
          <w:b w:val="false"/>
          <w:i w:val="false"/>
          <w:color w:val="ff0000"/>
          <w:sz w:val="28"/>
        </w:rPr>
        <w:t>21/165-IV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93"/>
        <w:gridCol w:w="1133"/>
        <w:gridCol w:w="82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инженерно–коммуникационной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14/101-IV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473"/>
        <w:gridCol w:w="2193"/>
        <w:gridCol w:w="695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