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a084" w14:textId="b24a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ставках платы за размещение наружной (визуальной) рекламы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Курчатовского городского маслихата Восточно-Казахстанской области от 23 июня 2008 года N 8/71-IV. Зарегистрировано в Управлении юстиции города Курчатова Департамента юстиции Восточно-Казахстанской области 21 июля 2008 года за N 5-3-59.Утратило силу решением Курчатовского городского маслихата от 31 октября 2008 года N 13/98-IV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Курчатовского городского маслихата от 31.10.2008 N 13/98-IV.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статъями </w:t>
      </w:r>
      <w:r>
        <w:rPr>
          <w:rFonts w:ascii="Times New Roman"/>
          <w:b w:val="false"/>
          <w:i w:val="false"/>
          <w:color w:val="000000"/>
          <w:sz w:val="28"/>
        </w:rPr>
        <w:t>489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12 июня 2001 года № 209 «О налогах и других обязательных платежах в бюджет»,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148-II «О местном государственном управлении в Республике Казахстан» Курчатовский 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ставки платы за размещение наружной (визуальной) рекламы на движимых объектах автомобильных дорог общего пользования местного значения на территории города Курчатова за один календарный месяц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Курчатовского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                              Ш. ТУЛЕУТАЕ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очередной 8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Курчатовского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23 июня 2008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8/71-IV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80"/>
          <w:sz w:val="28"/>
        </w:rPr>
        <w:t>Ставки платы за размещение наружной (визуальной)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 рекламы на движимых объектах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общего пользования местного значения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      города Курчатова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73"/>
        <w:gridCol w:w="4453"/>
        <w:gridCol w:w="5213"/>
      </w:tblGrid>
      <w:tr>
        <w:trPr>
          <w:trHeight w:val="120" w:hRule="atLeast"/>
        </w:trPr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Наименованиерегиона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Тип автотранспортного средства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платы за размещение рекламы на движимых объектах в месяц</w:t>
            </w:r>
          </w:p>
        </w:tc>
      </w:tr>
      <w:tr>
        <w:trPr>
          <w:trHeight w:val="120" w:hRule="atLeast"/>
        </w:trPr>
        <w:tc>
          <w:tcPr>
            <w:tcW w:w="3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 Курчатов</w:t>
            </w:r>
          </w:p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 грузоподъемность до 5 тонн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Грузовой автомобиль грузоподъемность свыше 5 тонн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до 25посадочных мест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МРП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Автобус свыше 25посадочных мест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Спец.техника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МРП</w:t>
            </w:r>
          </w:p>
        </w:tc>
      </w:tr>
      <w:tr>
        <w:trPr>
          <w:trHeight w:val="1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Легковые автомобили</w:t>
            </w:r>
          </w:p>
        </w:tc>
        <w:tc>
          <w:tcPr>
            <w:tcW w:w="5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МРП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