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72c9" w14:textId="9357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территории Тайыншинского района и города Тайынша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19 марта 2008 года N 46. Зарегистрировано Управлением юстиции Тайыншинского района Северо-Казахстанской области 30 апреля 2008 года N 13-11-104. Утратило силу - решением маслихата Тайыншинского района Северо-Казахстанской области от 6 июня 2012 года N 21</w:t>
      </w:r>
    </w:p>
    <w:p>
      <w:pPr>
        <w:spacing w:after="0"/>
        <w:ind w:left="0"/>
        <w:jc w:val="both"/>
      </w:pPr>
      <w:bookmarkStart w:name="z1" w:id="0"/>
      <w:r>
        <w:rPr>
          <w:rFonts w:ascii="Times New Roman"/>
          <w:b w:val="false"/>
          <w:i w:val="false"/>
          <w:color w:val="ff0000"/>
          <w:sz w:val="28"/>
        </w:rPr>
        <w:t>
      Сноска. Утратило силу - решением маслихата Тайыншинского района Северо-Казахстанской области от 06.06.2012 N 21</w:t>
      </w:r>
    </w:p>
    <w:bookmarkEnd w:id="0"/>
    <w:bookmarkStart w:name="z2" w:id="1"/>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3</w:t>
      </w:r>
      <w:r>
        <w:rPr>
          <w:rFonts w:ascii="Times New Roman"/>
          <w:b w:val="false"/>
          <w:i w:val="false"/>
          <w:color w:val="000000"/>
          <w:sz w:val="28"/>
        </w:rPr>
        <w:t xml:space="preserve"> Кодекса Республики Казахстан «Об административных правонарушениях», с подпунктом 8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маслихата Тайыншинского района от 23.10.2009 </w:t>
      </w:r>
      <w:r>
        <w:rPr>
          <w:rFonts w:ascii="Times New Roman"/>
          <w:b w:val="false"/>
          <w:i w:val="false"/>
          <w:color w:val="000000"/>
          <w:sz w:val="28"/>
        </w:rPr>
        <w:t>N 154</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территории Тайыншинского района и города Тайынша.</w:t>
      </w:r>
      <w:r>
        <w:br/>
      </w:r>
      <w:r>
        <w:rPr>
          <w:rFonts w:ascii="Times New Roman"/>
          <w:b w:val="false"/>
          <w:i w:val="false"/>
          <w:color w:val="000000"/>
          <w:sz w:val="28"/>
        </w:rPr>
        <w:t>
</w:t>
      </w:r>
      <w:r>
        <w:rPr>
          <w:rFonts w:ascii="Times New Roman"/>
          <w:b w:val="false"/>
          <w:i w:val="false"/>
          <w:color w:val="000000"/>
          <w:sz w:val="28"/>
        </w:rPr>
        <w:t>
      2. Настоящие Правила вводятся в действие по истечению десяти календарных дней со дня их первого официального опубликования.</w:t>
      </w:r>
    </w:p>
    <w:bookmarkEnd w:id="1"/>
    <w:p>
      <w:pPr>
        <w:spacing w:after="0"/>
        <w:ind w:left="0"/>
        <w:jc w:val="both"/>
      </w:pPr>
      <w:r>
        <w:rPr>
          <w:rFonts w:ascii="Times New Roman"/>
          <w:b w:val="false"/>
          <w:i/>
          <w:color w:val="000000"/>
          <w:sz w:val="28"/>
        </w:rPr>
        <w:t>      Председатель сессии                        С. Кочелабова</w:t>
      </w:r>
      <w:r>
        <w:br/>
      </w:r>
      <w:r>
        <w:rPr>
          <w:rFonts w:ascii="Times New Roman"/>
          <w:b w:val="false"/>
          <w:i w:val="false"/>
          <w:color w:val="000000"/>
          <w:sz w:val="28"/>
        </w:rPr>
        <w:t>
</w:t>
      </w:r>
      <w:r>
        <w:rPr>
          <w:rFonts w:ascii="Times New Roman"/>
          <w:b w:val="false"/>
          <w:i/>
          <w:color w:val="000000"/>
          <w:sz w:val="28"/>
        </w:rPr>
        <w:t>      Секретарь районного маслихата              К. Искаков</w:t>
      </w:r>
    </w:p>
    <w:bookmarkStart w:name="z4"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районного маслихата</w:t>
      </w:r>
      <w:r>
        <w:br/>
      </w:r>
      <w:r>
        <w:rPr>
          <w:rFonts w:ascii="Times New Roman"/>
          <w:b w:val="false"/>
          <w:i w:val="false"/>
          <w:color w:val="000000"/>
          <w:sz w:val="28"/>
        </w:rPr>
        <w:t>
от 19 марта 2008 года № 46</w:t>
      </w:r>
    </w:p>
    <w:bookmarkEnd w:id="2"/>
    <w:bookmarkStart w:name="z5" w:id="3"/>
    <w:p>
      <w:pPr>
        <w:spacing w:after="0"/>
        <w:ind w:left="0"/>
        <w:jc w:val="left"/>
      </w:pPr>
      <w:r>
        <w:rPr>
          <w:rFonts w:ascii="Times New Roman"/>
          <w:b/>
          <w:i w:val="false"/>
          <w:color w:val="000000"/>
        </w:rPr>
        <w:t xml:space="preserve"> 
Правила благоустройства территории Тайыншинского района и города Тайынша</w:t>
      </w:r>
    </w:p>
    <w:bookmarkEnd w:id="3"/>
    <w:bookmarkStart w:name="z6"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и другими нормативно-правовыми актами.</w:t>
      </w:r>
      <w:r>
        <w:br/>
      </w: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охраны зеленых насаждений, содержания и защиты объектов инфраструктуры в Тайыншинском районе и городе Тайынша.</w:t>
      </w:r>
    </w:p>
    <w:bookmarkStart w:name="z7" w:id="5"/>
    <w:p>
      <w:pPr>
        <w:spacing w:after="0"/>
        <w:ind w:left="0"/>
        <w:jc w:val="left"/>
      </w:pPr>
      <w:r>
        <w:rPr>
          <w:rFonts w:ascii="Times New Roman"/>
          <w:b/>
          <w:i w:val="false"/>
          <w:color w:val="000000"/>
        </w:rPr>
        <w:t xml:space="preserve"> 
2. Основные понятия и определения, используемые в настоящих Правилах</w:t>
      </w:r>
    </w:p>
    <w:bookmarkEnd w:id="5"/>
    <w:p>
      <w:pPr>
        <w:spacing w:after="0"/>
        <w:ind w:left="0"/>
        <w:jc w:val="both"/>
      </w:pPr>
      <w:r>
        <w:rPr>
          <w:rFonts w:ascii="Times New Roman"/>
          <w:b w:val="false"/>
          <w:i w:val="false"/>
          <w:color w:val="000000"/>
          <w:sz w:val="28"/>
        </w:rPr>
        <w:t>      2. Уполномоченный орган - Государственное Учреждение, полномочия которого в области жилищно-коммунального хозяйства его коммуникаций пассажирского транспорта и автомобильных дорог определены акиматом района.</w:t>
      </w:r>
      <w:r>
        <w:br/>
      </w:r>
      <w:r>
        <w:rPr>
          <w:rFonts w:ascii="Times New Roman"/>
          <w:b w:val="false"/>
          <w:i w:val="false"/>
          <w:color w:val="000000"/>
          <w:sz w:val="28"/>
        </w:rPr>
        <w:t>
      3. Внутридворовая территория- это территория, отведенная Генеральным планом застройки территории, включая детские площадки, зоны отдыха, малые архитектурные формы, контейнерные площадки</w:t>
      </w:r>
      <w:r>
        <w:br/>
      </w:r>
      <w:r>
        <w:rPr>
          <w:rFonts w:ascii="Times New Roman"/>
          <w:b w:val="false"/>
          <w:i w:val="false"/>
          <w:color w:val="000000"/>
          <w:sz w:val="28"/>
        </w:rPr>
        <w:t>
      4. Прилегающая территория определяется:</w:t>
      </w:r>
      <w:r>
        <w:br/>
      </w:r>
      <w:r>
        <w:rPr>
          <w:rFonts w:ascii="Times New Roman"/>
          <w:b w:val="false"/>
          <w:i w:val="false"/>
          <w:color w:val="000000"/>
          <w:sz w:val="28"/>
        </w:rPr>
        <w:t>
      1) для предприятий, организаций, учреждений. Независимо от форм собственности до оси проезжей части, включая скверы, тротуары, зеленую зону, канавы и ливнестоки, но не более 15 метров от границы земельного участка. Кроме того, за каждой организацией закреплены для уборки определенные территории в границах, установленных решением местных исполнительных органов;</w:t>
      </w:r>
      <w:r>
        <w:br/>
      </w:r>
      <w:r>
        <w:rPr>
          <w:rFonts w:ascii="Times New Roman"/>
          <w:b w:val="false"/>
          <w:i w:val="false"/>
          <w:color w:val="000000"/>
          <w:sz w:val="28"/>
        </w:rPr>
        <w:t>
      2) для торговых павильонов- на расстоянии 6 метров от наружных стен;</w:t>
      </w:r>
      <w:r>
        <w:br/>
      </w:r>
      <w:r>
        <w:rPr>
          <w:rFonts w:ascii="Times New Roman"/>
          <w:b w:val="false"/>
          <w:i w:val="false"/>
          <w:color w:val="000000"/>
          <w:sz w:val="28"/>
        </w:rPr>
        <w:t>
      3) для многоквартирных жилых домов, магазинов, встроенных в жилых зданиях- по фасаду здания, выходящего на улицу, до кромки ближайшего тротуара или проезжей части, но не более 15 метров;</w:t>
      </w:r>
      <w:r>
        <w:br/>
      </w:r>
      <w:r>
        <w:rPr>
          <w:rFonts w:ascii="Times New Roman"/>
          <w:b w:val="false"/>
          <w:i w:val="false"/>
          <w:color w:val="000000"/>
          <w:sz w:val="28"/>
        </w:rPr>
        <w:t>
      4) для индивидуальных жилых домов- земельный участок, прилегающий к границам домовладения, включая имеющиеся канавы и  ливнестоки до кромки тротуара при его отсутствии- до проезжей части, но не более 15 метров от границы земельного участка;</w:t>
      </w:r>
      <w:r>
        <w:br/>
      </w:r>
      <w:r>
        <w:rPr>
          <w:rFonts w:ascii="Times New Roman"/>
          <w:b w:val="false"/>
          <w:i w:val="false"/>
          <w:color w:val="000000"/>
          <w:sz w:val="28"/>
        </w:rPr>
        <w:t>
      5. Содержание земельного участка понимается:</w:t>
      </w:r>
      <w:r>
        <w:br/>
      </w:r>
      <w:r>
        <w:rPr>
          <w:rFonts w:ascii="Times New Roman"/>
          <w:b w:val="false"/>
          <w:i w:val="false"/>
          <w:color w:val="000000"/>
          <w:sz w:val="28"/>
        </w:rPr>
        <w:t>
      1) совокупность организационных и технических мероприятий, проводимых с целью обеспечения рационального использования земли, экологической безопасности, санитарно-эпидемиологического благополучия и улучшения жилищно-бытовых условий для населения;</w:t>
      </w:r>
      <w:r>
        <w:br/>
      </w:r>
      <w:r>
        <w:rPr>
          <w:rFonts w:ascii="Times New Roman"/>
          <w:b w:val="false"/>
          <w:i w:val="false"/>
          <w:color w:val="000000"/>
          <w:sz w:val="28"/>
        </w:rPr>
        <w:t>
      2) земельным участком называется часть земли закрепленная за субъектами земельных правоотношений в установленном законодательстве порядке;</w:t>
      </w:r>
      <w:r>
        <w:br/>
      </w:r>
      <w:r>
        <w:rPr>
          <w:rFonts w:ascii="Times New Roman"/>
          <w:b w:val="false"/>
          <w:i w:val="false"/>
          <w:color w:val="000000"/>
          <w:sz w:val="28"/>
        </w:rPr>
        <w:t>
      3) содержание земельных участков производится собственниками или пользователями самостоятельно, либо путем заключения договоров о найме персонала, предусматривающих состав работ, критерий оценки качества, ответственность сторон;</w:t>
      </w:r>
    </w:p>
    <w:bookmarkStart w:name="z8" w:id="6"/>
    <w:p>
      <w:pPr>
        <w:spacing w:after="0"/>
        <w:ind w:left="0"/>
        <w:jc w:val="left"/>
      </w:pPr>
      <w:r>
        <w:rPr>
          <w:rFonts w:ascii="Times New Roman"/>
          <w:b/>
          <w:i w:val="false"/>
          <w:color w:val="000000"/>
        </w:rPr>
        <w:t xml:space="preserve"> 
3. Содержание малых архитектурных форм</w:t>
      </w:r>
    </w:p>
    <w:bookmarkEnd w:id="6"/>
    <w:p>
      <w:pPr>
        <w:spacing w:after="0"/>
        <w:ind w:left="0"/>
        <w:jc w:val="both"/>
      </w:pPr>
      <w:r>
        <w:rPr>
          <w:rFonts w:ascii="Times New Roman"/>
          <w:b w:val="false"/>
          <w:i w:val="false"/>
          <w:color w:val="000000"/>
          <w:sz w:val="28"/>
        </w:rPr>
        <w:t>      6.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p>
    <w:bookmarkStart w:name="z9" w:id="7"/>
    <w:p>
      <w:pPr>
        <w:spacing w:after="0"/>
        <w:ind w:left="0"/>
        <w:jc w:val="left"/>
      </w:pPr>
      <w:r>
        <w:rPr>
          <w:rFonts w:ascii="Times New Roman"/>
          <w:b/>
          <w:i w:val="false"/>
          <w:color w:val="000000"/>
        </w:rPr>
        <w:t xml:space="preserve"> 
4. Требования, предъявляемые к содержанию территорий</w:t>
      </w:r>
    </w:p>
    <w:bookmarkEnd w:id="7"/>
    <w:p>
      <w:pPr>
        <w:spacing w:after="0"/>
        <w:ind w:left="0"/>
        <w:jc w:val="both"/>
      </w:pPr>
      <w:r>
        <w:rPr>
          <w:rFonts w:ascii="Times New Roman"/>
          <w:b w:val="false"/>
          <w:i w:val="false"/>
          <w:color w:val="000000"/>
          <w:sz w:val="28"/>
        </w:rPr>
        <w:t>      7. Руководителям предприятий, учреждений и организаций независимо от форм собственности, владельцам, арендаторам магазинов, торговых домов и павильонов необходимо обеспечить:</w:t>
      </w:r>
      <w:r>
        <w:br/>
      </w:r>
      <w:r>
        <w:rPr>
          <w:rFonts w:ascii="Times New Roman"/>
          <w:b w:val="false"/>
          <w:i w:val="false"/>
          <w:color w:val="000000"/>
          <w:sz w:val="28"/>
        </w:rPr>
        <w:t>
      1) ежедневную санитарную уборку на прилегающих территориях, а также вывоз бытового мусора собственными силами или другими предприятиями на основе договоров. В том случае, когда строения расположены по одной стороне улиц, уборка производится на всю ширину улиц и тротуаров;</w:t>
      </w:r>
      <w:r>
        <w:br/>
      </w:r>
      <w:r>
        <w:rPr>
          <w:rFonts w:ascii="Times New Roman"/>
          <w:b w:val="false"/>
          <w:i w:val="false"/>
          <w:color w:val="000000"/>
          <w:sz w:val="28"/>
        </w:rPr>
        <w:t>
      2) на своих территориях уборку и очистку водосточных канав, мостков, труб, дренажей, предназначенных для отвода поверхностных и грунтовых вод;</w:t>
      </w:r>
      <w:r>
        <w:br/>
      </w:r>
      <w:r>
        <w:rPr>
          <w:rFonts w:ascii="Times New Roman"/>
          <w:b w:val="false"/>
          <w:i w:val="false"/>
          <w:color w:val="000000"/>
          <w:sz w:val="28"/>
        </w:rPr>
        <w:t>
      3) своевременное производство работ по ремонту и покраске фасадов зданий и сооружений, ограждений, входных дверей, экранов балконов и лоджий, водосточных труб, малых архитектурных форм, мытье стекол, витрин и окон административных и производственных зданий, уход за газонами и зелеными насаждениями, своевременное удаление сорных трав;</w:t>
      </w:r>
      <w:r>
        <w:br/>
      </w:r>
      <w:r>
        <w:rPr>
          <w:rFonts w:ascii="Times New Roman"/>
          <w:b w:val="false"/>
          <w:i w:val="false"/>
          <w:color w:val="000000"/>
          <w:sz w:val="28"/>
        </w:rPr>
        <w:t>
      4) производить все виды работ, связанные с выемкой грунта при прокладке, переустройстве и ремонте подземных сооружений, возведением нулевых циклов при строительстве, только после оформления документов в соответствии с установленным порядком;</w:t>
      </w:r>
      <w:r>
        <w:br/>
      </w:r>
      <w:r>
        <w:rPr>
          <w:rFonts w:ascii="Times New Roman"/>
          <w:b w:val="false"/>
          <w:i w:val="false"/>
          <w:color w:val="000000"/>
          <w:sz w:val="28"/>
        </w:rPr>
        <w:t>
      5) соблюдение санитарно-эпидемиологических мероприятий.</w:t>
      </w:r>
      <w:r>
        <w:br/>
      </w:r>
      <w:r>
        <w:rPr>
          <w:rFonts w:ascii="Times New Roman"/>
          <w:b w:val="false"/>
          <w:i w:val="false"/>
          <w:color w:val="000000"/>
          <w:sz w:val="28"/>
        </w:rPr>
        <w:t>
      8. На территории жилых кварталов, микрорайонов, а также на придомовых территориях в границах отведенных земельных участков необходимо поддерживать следующий порядок:</w:t>
      </w:r>
      <w:r>
        <w:br/>
      </w:r>
      <w:r>
        <w:rPr>
          <w:rFonts w:ascii="Times New Roman"/>
          <w:b w:val="false"/>
          <w:i w:val="false"/>
          <w:color w:val="000000"/>
          <w:sz w:val="28"/>
        </w:rPr>
        <w:t>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 и другое);</w:t>
      </w:r>
      <w:r>
        <w:br/>
      </w:r>
      <w:r>
        <w:rPr>
          <w:rFonts w:ascii="Times New Roman"/>
          <w:b w:val="false"/>
          <w:i w:val="false"/>
          <w:color w:val="000000"/>
          <w:sz w:val="28"/>
        </w:rPr>
        <w:t>
      не допускать загромождения придомовых территорий строительными материалами;</w:t>
      </w:r>
      <w:r>
        <w:br/>
      </w: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9. На придомовой территории запрещается:</w:t>
      </w:r>
      <w:r>
        <w:br/>
      </w:r>
      <w:r>
        <w:rPr>
          <w:rFonts w:ascii="Times New Roman"/>
          <w:b w:val="false"/>
          <w:i w:val="false"/>
          <w:color w:val="000000"/>
          <w:sz w:val="28"/>
        </w:rPr>
        <w:t>
      производство действий, нарушающих тишину и порядок, с 23 до 6 часов, кроме работ по уборке территории либо работ по устранению аварийных ситуаций;</w:t>
      </w:r>
      <w:r>
        <w:br/>
      </w:r>
      <w:r>
        <w:rPr>
          <w:rFonts w:ascii="Times New Roman"/>
          <w:b w:val="false"/>
          <w:i w:val="false"/>
          <w:color w:val="000000"/>
          <w:sz w:val="28"/>
        </w:rPr>
        <w:t>
      не допускается:</w:t>
      </w:r>
      <w:r>
        <w:br/>
      </w:r>
      <w:r>
        <w:rPr>
          <w:rFonts w:ascii="Times New Roman"/>
          <w:b w:val="false"/>
          <w:i w:val="false"/>
          <w:color w:val="000000"/>
          <w:sz w:val="28"/>
        </w:rPr>
        <w:t>
      стоянка, въезд служебного и личного автотранспорта на зеленые зоны дворовых и внутриквартальных территорий, детские площадки, пешеходные дорожки;</w:t>
      </w:r>
      <w:r>
        <w:br/>
      </w:r>
      <w:r>
        <w:rPr>
          <w:rFonts w:ascii="Times New Roman"/>
          <w:b w:val="false"/>
          <w:i w:val="false"/>
          <w:color w:val="000000"/>
          <w:sz w:val="28"/>
        </w:rPr>
        <w:t>
      стоянка и парковка транспортных средств вне специально выделенных и обозначенных знаками и (или) разметками мест.</w:t>
      </w:r>
      <w:r>
        <w:br/>
      </w:r>
      <w:r>
        <w:rPr>
          <w:rFonts w:ascii="Times New Roman"/>
          <w:b w:val="false"/>
          <w:i w:val="false"/>
          <w:color w:val="000000"/>
          <w:sz w:val="28"/>
        </w:rPr>
        <w:t>
      10. На предприятиях общественного питания, открытых площадках, в шашлычных киосках, торговых павильонах и так далее, где отсутствуют стационарные туалеты, обязательным условием является установка переносного или общественного туалета для персонала и посетителей.</w:t>
      </w:r>
      <w:r>
        <w:br/>
      </w:r>
      <w:r>
        <w:rPr>
          <w:rFonts w:ascii="Times New Roman"/>
          <w:b w:val="false"/>
          <w:i w:val="false"/>
          <w:color w:val="000000"/>
          <w:sz w:val="28"/>
        </w:rPr>
        <w:t>
      11. Часы работы рынков устанавливаются на основании решения местных исполнительных органов. Один день в неделю объявляется санитарным для уборки и дезинфекции всей территории рынка, основных и подсобных помещений, торговых мест, прилавков - столов, инвентаря.</w:t>
      </w:r>
    </w:p>
    <w:bookmarkStart w:name="z10" w:id="8"/>
    <w:p>
      <w:pPr>
        <w:spacing w:after="0"/>
        <w:ind w:left="0"/>
        <w:jc w:val="left"/>
      </w:pPr>
      <w:r>
        <w:rPr>
          <w:rFonts w:ascii="Times New Roman"/>
          <w:b/>
          <w:i w:val="false"/>
          <w:color w:val="000000"/>
        </w:rPr>
        <w:t xml:space="preserve"> 
5. Проведение аварийных работ</w:t>
      </w:r>
    </w:p>
    <w:bookmarkEnd w:id="8"/>
    <w:p>
      <w:pPr>
        <w:spacing w:after="0"/>
        <w:ind w:left="0"/>
        <w:jc w:val="both"/>
      </w:pPr>
      <w:r>
        <w:rPr>
          <w:rFonts w:ascii="Times New Roman"/>
          <w:b w:val="false"/>
          <w:i w:val="false"/>
          <w:color w:val="000000"/>
          <w:sz w:val="28"/>
        </w:rPr>
        <w:t>      12.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r>
        <w:br/>
      </w:r>
      <w:r>
        <w:rPr>
          <w:rFonts w:ascii="Times New Roman"/>
          <w:b w:val="false"/>
          <w:i w:val="false"/>
          <w:color w:val="000000"/>
          <w:sz w:val="28"/>
        </w:rPr>
        <w:t>
      13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Отдел дорожной полиции РОВД района, госсанэпидемнадзор, уполномоченный орган коммунального хозяйства района и другие заинтересованные службы.</w:t>
      </w:r>
      <w:r>
        <w:br/>
      </w:r>
      <w:r>
        <w:rPr>
          <w:rFonts w:ascii="Times New Roman"/>
          <w:b w:val="false"/>
          <w:i w:val="false"/>
          <w:color w:val="000000"/>
          <w:sz w:val="28"/>
        </w:rPr>
        <w:t>
      14. Юридическим и физическим лицам, имеющим в зоне аварии наземные или подземные коммуникации, при получении информации об авариях необходимо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15. Если работы по ликвидации аварии требуют полного или частичного закрытия проезда, Отдел дорожной полиции РОВД района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16.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по согласованию с Отделом дорожной полиции РОВД района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17.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w:t>
      </w:r>
      <w:r>
        <w:br/>
      </w:r>
      <w:r>
        <w:rPr>
          <w:rFonts w:ascii="Times New Roman"/>
          <w:b w:val="false"/>
          <w:i w:val="false"/>
          <w:color w:val="000000"/>
          <w:sz w:val="28"/>
        </w:rPr>
        <w:t>
      18.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 Срок гарантии качества восстановленного асфальтобетонного покрытия после аварийных работ не менее 2-х лет.</w:t>
      </w:r>
      <w:r>
        <w:br/>
      </w:r>
      <w:r>
        <w:rPr>
          <w:rFonts w:ascii="Times New Roman"/>
          <w:b w:val="false"/>
          <w:i w:val="false"/>
          <w:color w:val="000000"/>
          <w:sz w:val="28"/>
        </w:rPr>
        <w:t>
      19. Производство плановых работ, под предлогом аварийных, категорически не допускается.</w:t>
      </w:r>
    </w:p>
    <w:bookmarkStart w:name="z11" w:id="9"/>
    <w:p>
      <w:pPr>
        <w:spacing w:after="0"/>
        <w:ind w:left="0"/>
        <w:jc w:val="left"/>
      </w:pPr>
      <w:r>
        <w:rPr>
          <w:rFonts w:ascii="Times New Roman"/>
          <w:b/>
          <w:i w:val="false"/>
          <w:color w:val="000000"/>
        </w:rPr>
        <w:t xml:space="preserve"> 
6. Содержание элементов внешнего благоустройства</w:t>
      </w:r>
    </w:p>
    <w:bookmarkEnd w:id="9"/>
    <w:p>
      <w:pPr>
        <w:spacing w:after="0"/>
        <w:ind w:left="0"/>
        <w:jc w:val="both"/>
      </w:pPr>
      <w:r>
        <w:rPr>
          <w:rFonts w:ascii="Times New Roman"/>
          <w:b w:val="false"/>
          <w:i w:val="false"/>
          <w:color w:val="000000"/>
          <w:sz w:val="28"/>
        </w:rPr>
        <w:t>      20. Строительство оград и установка  заборов, газонных ограждений, торговых палаток, павильонов допускается при согласовании проектов и мест их установки в соответствии с утвержденным порядком.</w:t>
      </w:r>
      <w:r>
        <w:br/>
      </w:r>
      <w:r>
        <w:rPr>
          <w:rFonts w:ascii="Times New Roman"/>
          <w:b w:val="false"/>
          <w:i w:val="false"/>
          <w:color w:val="000000"/>
          <w:sz w:val="28"/>
        </w:rPr>
        <w:t>
      21. Разрешение на установку передвижной мелкорозничной торговли (лотков, столиков, и другие) выдается акимом сельского округа или города по согласованию с санитарной службой района.</w:t>
      </w:r>
      <w:r>
        <w:br/>
      </w:r>
      <w:r>
        <w:rPr>
          <w:rFonts w:ascii="Times New Roman"/>
          <w:b w:val="false"/>
          <w:i w:val="false"/>
          <w:color w:val="000000"/>
          <w:sz w:val="28"/>
        </w:rPr>
        <w:t>
      22. Строительные площадки и места сноса строений должны быть ограждены по всему периметру забором установленного образца до окончания срока работ. Подъезды к ним должны быть благоустроены так, чтобы исключить загрязнение улиц выезжающим транспортом. На период производства работ за строительной организацией закрепляется прилегающий участок дороги по длине 200 метров в обе стороны от строящегося объекта для ежедневной очистки от грязи и других нечистот.</w:t>
      </w:r>
      <w:r>
        <w:br/>
      </w:r>
      <w:r>
        <w:rPr>
          <w:rFonts w:ascii="Times New Roman"/>
          <w:b w:val="false"/>
          <w:i w:val="false"/>
          <w:color w:val="000000"/>
          <w:sz w:val="28"/>
        </w:rPr>
        <w:t>
      23. Возле магазинов, торговых точек их владельцы устанавливают урны. Урны должны содержаться владельцами торговых точек в должном порядке, очищаться по мере накопления мусора и не реже одного раза в месяц промываться и дезинфицироваться.</w:t>
      </w:r>
      <w:r>
        <w:br/>
      </w:r>
      <w:r>
        <w:rPr>
          <w:rFonts w:ascii="Times New Roman"/>
          <w:b w:val="false"/>
          <w:i w:val="false"/>
          <w:color w:val="000000"/>
          <w:sz w:val="28"/>
        </w:rPr>
        <w:t>
      24. Руководители организаций, в ведении которых находятся инженерные сети, обязаны регулярно следить за тем, чтобы крышки канализационных, водопроводных и других колодцев находились на уровне дорожного покрытия и содержались постоянно в исправном состоянии.</w:t>
      </w:r>
      <w:r>
        <w:br/>
      </w:r>
      <w:r>
        <w:rPr>
          <w:rFonts w:ascii="Times New Roman"/>
          <w:b w:val="false"/>
          <w:i w:val="false"/>
          <w:color w:val="000000"/>
          <w:sz w:val="28"/>
        </w:rPr>
        <w:t>
      25. Владельцы котельных, работающих на твердом топливе, обязаны обеспечить регулярную очистку и вывозку шлака с земельного участка, обеспечить складирование топлива в отведенных для этого местах с соблюдением норм противопожарной безопасности.</w:t>
      </w:r>
    </w:p>
    <w:bookmarkStart w:name="z12" w:id="10"/>
    <w:p>
      <w:pPr>
        <w:spacing w:after="0"/>
        <w:ind w:left="0"/>
        <w:jc w:val="left"/>
      </w:pPr>
      <w:r>
        <w:rPr>
          <w:rFonts w:ascii="Times New Roman"/>
          <w:b/>
          <w:i w:val="false"/>
          <w:color w:val="000000"/>
        </w:rPr>
        <w:t xml:space="preserve"> 
7. Обеспечение чистоты и порядка</w:t>
      </w:r>
    </w:p>
    <w:bookmarkEnd w:id="10"/>
    <w:p>
      <w:pPr>
        <w:spacing w:after="0"/>
        <w:ind w:left="0"/>
        <w:jc w:val="both"/>
      </w:pPr>
      <w:r>
        <w:rPr>
          <w:rFonts w:ascii="Times New Roman"/>
          <w:b w:val="false"/>
          <w:i w:val="false"/>
          <w:color w:val="000000"/>
          <w:sz w:val="28"/>
        </w:rPr>
        <w:t>      26. На территории населенных пунктов и города не допускается сброс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27. Не допускается сжигание мусора, листвы, тары, производственных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28. Не допускается сброс неочищенных вод промышленных предприятий и сточных вод частного сектора в водоемы и овраги.</w:t>
      </w:r>
      <w:r>
        <w:br/>
      </w:r>
      <w:r>
        <w:rPr>
          <w:rFonts w:ascii="Times New Roman"/>
          <w:b w:val="false"/>
          <w:i w:val="false"/>
          <w:color w:val="000000"/>
          <w:sz w:val="28"/>
        </w:rPr>
        <w:t>
      29. Не допускается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30.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 а также передвижение с открытыми люками специальных автомобилей, перевозящих мусор на полигон твердыми бытовыми отходами (ТБО).</w:t>
      </w:r>
      <w:r>
        <w:br/>
      </w:r>
      <w:r>
        <w:rPr>
          <w:rFonts w:ascii="Times New Roman"/>
          <w:b w:val="false"/>
          <w:i w:val="false"/>
          <w:color w:val="000000"/>
          <w:sz w:val="28"/>
        </w:rPr>
        <w:t>
      31. Не допускается размещение объектов различного назначения на газонах, цветниках, тротуарах, детских площадках, в арках зданий.</w:t>
      </w:r>
      <w:r>
        <w:br/>
      </w:r>
      <w:r>
        <w:rPr>
          <w:rFonts w:ascii="Times New Roman"/>
          <w:b w:val="false"/>
          <w:i w:val="false"/>
          <w:color w:val="000000"/>
          <w:sz w:val="28"/>
        </w:rPr>
        <w:t>
      32. Не допускается размещение, расклеивание объявлений, афиш, печатных агитационных материалов, извещений и иных объектов визуальной информации вне установленных местными исполнительным органами района. Вывешивание указанной продукции в иных местах допускается с разрешения собственника соответствующего объекта.</w:t>
      </w:r>
      <w:r>
        <w:br/>
      </w:r>
      <w:r>
        <w:rPr>
          <w:rFonts w:ascii="Times New Roman"/>
          <w:b w:val="false"/>
          <w:i w:val="false"/>
          <w:color w:val="000000"/>
          <w:sz w:val="28"/>
        </w:rPr>
        <w:t>
      33. Не допускается разбрасывание печатных агитационных материалов.</w:t>
      </w:r>
    </w:p>
    <w:bookmarkStart w:name="z13" w:id="11"/>
    <w:p>
      <w:pPr>
        <w:spacing w:after="0"/>
        <w:ind w:left="0"/>
        <w:jc w:val="left"/>
      </w:pPr>
      <w:r>
        <w:rPr>
          <w:rFonts w:ascii="Times New Roman"/>
          <w:b/>
          <w:i w:val="false"/>
          <w:color w:val="000000"/>
        </w:rPr>
        <w:t xml:space="preserve"> 
8. Обязанности уполномоченного органа и государственных органов по контролю за состоянием благоустройства, санитарным содержанием, организацией уборки территории района и города Тайынша</w:t>
      </w:r>
    </w:p>
    <w:bookmarkEnd w:id="11"/>
    <w:p>
      <w:pPr>
        <w:spacing w:after="0"/>
        <w:ind w:left="0"/>
        <w:jc w:val="both"/>
      </w:pPr>
      <w:r>
        <w:rPr>
          <w:rFonts w:ascii="Times New Roman"/>
          <w:b w:val="false"/>
          <w:i w:val="false"/>
          <w:color w:val="000000"/>
          <w:sz w:val="28"/>
        </w:rPr>
        <w:t>      34.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противопожарного, и санитарного надзора в пределах своих компетенций.</w:t>
      </w:r>
      <w:r>
        <w:br/>
      </w:r>
      <w:r>
        <w:rPr>
          <w:rFonts w:ascii="Times New Roman"/>
          <w:b w:val="false"/>
          <w:i w:val="false"/>
          <w:color w:val="000000"/>
          <w:sz w:val="28"/>
        </w:rPr>
        <w:t>
      35. В соответствии с функциональными обязанностями общий контроль за состоянием благоустройства города, координацию проведения комиссионных объездов и обследований, государственных контрольно-надзорных органов проводит уполномоченный орган.</w:t>
      </w:r>
    </w:p>
    <w:bookmarkStart w:name="z14" w:id="12"/>
    <w:p>
      <w:pPr>
        <w:spacing w:after="0"/>
        <w:ind w:left="0"/>
        <w:jc w:val="left"/>
      </w:pPr>
      <w:r>
        <w:rPr>
          <w:rFonts w:ascii="Times New Roman"/>
          <w:b/>
          <w:i w:val="false"/>
          <w:color w:val="000000"/>
        </w:rPr>
        <w:t xml:space="preserve"> 
9. Ответственность физических и юридических лиц за нарушение Правил</w:t>
      </w:r>
    </w:p>
    <w:bookmarkEnd w:id="12"/>
    <w:p>
      <w:pPr>
        <w:spacing w:after="0"/>
        <w:ind w:left="0"/>
        <w:jc w:val="both"/>
      </w:pPr>
      <w:r>
        <w:rPr>
          <w:rFonts w:ascii="Times New Roman"/>
          <w:b w:val="false"/>
          <w:i w:val="false"/>
          <w:color w:val="000000"/>
          <w:sz w:val="28"/>
        </w:rPr>
        <w:t>      36.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