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eb9" w14:textId="13c5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76. Зарегистрировано Управлением юстиции района имени Габита Мусрепова Северо-Казахстанской области 7 мая 2008 года N 13-5-62.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2008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справок по опеке и попечительству»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государственной услуга определяет порядок выдача справок по опеке и попечительству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 № 321 от 17 декабря 1998 года, подпункта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самоуправлении Республики Казахстан» № 148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органах, опеки и попечительства Республики Казахстан, о патронате и Правил организации централизованного учета детей, оставшихся без попечения родителей»,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1999 года № 842 «Об утверждения Перечня заболеваний, при наличии которых лицо не может усыновить (удочерить) ребенка, принять его под опеку (попечительство), патронат».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учреждением «Отдел образования»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справок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не более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 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размещены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информационном стенде государственного учреждения «Отдел образования» 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 часов до 18.00 часов, перерыв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образования» района имени Габита Мусрепова располагаются на 3 этаже здания. Для оформления документов имеется зал ожидания, места для заполнения документов и образцами их заполнения, столы, стулья,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по опеке и попечительству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опекунство (попечительство), решение суда об установлении опекунства, двухсторонний патронатный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ребенка – оригинал и копия свидетельства о рождении, оригинал и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акимата района «Об установлении опеки или попечительства над несовершеннолетними детьми»;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 государственного учреждения «Отдел образования»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предоставляются потребителем специалистам государственного учреждения «Отдел образования» района имени Габита Мусрепова, по адресу: село Новоишимское, улица Школьная, 19-2.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 предоставления потребителем одного из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Отдел образования информирует потребителя в течение одного рабочего дня после их получения и выдает письменное обоснования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района имени Габита Мусрепова Северо-Казахстанской области основывается: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полной и подробной информации о порядке регистрации и постановки на учет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представления государственной услуги государственным учреждением «Отдел образования» района имени Габита Мусрепова претензии подаются на имя начальника отдела по адресу: село Новоишимское, улица Школьная 19, кабинет № 1, № 5, телефоны: 2-23-78, 2-23-33, электронная почта: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специалистом отдела образования района имени Габита Мусрепова Северо-Казахстанской области по адресу: село Новоишимское, улица Школьная, 19 кабинет № 1, 5, телефоны: 22-3-78, 22-3-33, электронная почта: gm.roo @ mail.ru,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в установленные законом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учреждения «Отдел образования» района имени Габита Мусрепова: село Новоишимское, улица Школьная 19, электронная почта: gm.roo@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2-23-78,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2-23-33; кабинет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 обратиться в государственное учреждение «Отдела образования»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