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3e2d" w14:textId="3d13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"Оформление документов на инвалидов для обеспечения их сурдо-, тифлосредствами и обязательными гигиеническими средствами"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13. Зарегистрировано Управлением юстиции Аккайынского района Северо-Казахстанской области 29 февраля 2008 N 13-2-65. Утратило силу постановлением акимата Аккайынского района от 20 декабря 2009 года N 256</w:t>
      </w:r>
    </w:p>
    <w:p>
      <w:pPr>
        <w:spacing w:after="0"/>
        <w:ind w:left="0"/>
        <w:jc w:val="both"/>
      </w:pPr>
      <w:r>
        <w:rPr>
          <w:rFonts w:ascii="Times New Roman"/>
          <w:b w:val="false"/>
          <w:i/>
          <w:color w:val="800000"/>
          <w:sz w:val="28"/>
        </w:rPr>
        <w:t>      Сноска. Утратило силу постановлением акимата Аккайынского района от 20.12.2009 N 256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 39 «О социальной защите инвалидов в Республике Казахстан», постановлениями Правительства Республики Казахстан от 30 июня 2007 года </w:t>
      </w:r>
      <w:r>
        <w:rPr>
          <w:rFonts w:ascii="Times New Roman"/>
          <w:b w:val="false"/>
          <w:i w:val="false"/>
          <w:color w:val="000000"/>
          <w:sz w:val="28"/>
        </w:rPr>
        <w:t>№ 558</w:t>
      </w:r>
      <w:r>
        <w:rPr>
          <w:rFonts w:ascii="Times New Roman"/>
          <w:b w:val="false"/>
          <w:i w:val="false"/>
          <w:color w:val="000000"/>
          <w:sz w:val="28"/>
        </w:rPr>
        <w:t xml:space="preserve"> «Об утверждении Типового стандарта оказания государственной услуги», и от 30 июня 2007 года </w:t>
      </w:r>
      <w:r>
        <w:rPr>
          <w:rFonts w:ascii="Times New Roman"/>
          <w:b w:val="false"/>
          <w:i w:val="false"/>
          <w:color w:val="000000"/>
          <w:sz w:val="28"/>
        </w:rPr>
        <w:t>№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района</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w:t>
      </w:r>
      <w:r>
        <w:br/>
      </w:r>
      <w:r>
        <w:rPr>
          <w:rFonts w:ascii="Times New Roman"/>
          <w:b w:val="false"/>
          <w:i w:val="false"/>
          <w:color w:val="000000"/>
          <w:sz w:val="28"/>
        </w:rPr>
        <w:t>
«Оформление документов на инвалидов для обеспечения их сурдо-, тифлосредствами и обязательными гигиеническими средствами»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p>
      <w:pPr>
        <w:spacing w:after="0"/>
        <w:ind w:left="0"/>
        <w:jc w:val="both"/>
      </w:pPr>
      <w:r>
        <w:rPr>
          <w:rFonts w:ascii="Times New Roman"/>
          <w:b w:val="false"/>
          <w:i/>
          <w:color w:val="000000"/>
          <w:sz w:val="28"/>
        </w:rPr>
        <w:t>      Аким района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13</w:t>
      </w:r>
    </w:p>
    <w:p>
      <w:pPr>
        <w:spacing w:after="0"/>
        <w:ind w:left="0"/>
        <w:jc w:val="both"/>
      </w:pPr>
      <w:r>
        <w:rPr>
          <w:rFonts w:ascii="Times New Roman"/>
          <w:b/>
          <w:i w:val="false"/>
          <w:color w:val="000080"/>
          <w:sz w:val="28"/>
        </w:rPr>
        <w:t>Стандарт оказания государственной услуги</w:t>
      </w:r>
      <w:r>
        <w:br/>
      </w:r>
      <w:r>
        <w:rPr>
          <w:rFonts w:ascii="Times New Roman"/>
          <w:b w:val="false"/>
          <w:i w:val="false"/>
          <w:color w:val="000000"/>
          <w:sz w:val="28"/>
        </w:rPr>
        <w:t>
</w:t>
      </w:r>
      <w:r>
        <w:rPr>
          <w:rFonts w:ascii="Times New Roman"/>
          <w:b/>
          <w:i w:val="false"/>
          <w:color w:val="000080"/>
          <w:sz w:val="28"/>
        </w:rPr>
        <w:t>«</w:t>
      </w:r>
      <w:r>
        <w:rPr>
          <w:rFonts w:ascii="Times New Roman"/>
          <w:b/>
          <w:i w:val="false"/>
          <w:color w:val="000080"/>
          <w:sz w:val="28"/>
        </w:rPr>
        <w:t>Оформление документов на инвалидов для обеспечения их сурдо-,</w:t>
      </w:r>
      <w:r>
        <w:br/>
      </w:r>
      <w:r>
        <w:rPr>
          <w:rFonts w:ascii="Times New Roman"/>
          <w:b w:val="false"/>
          <w:i w:val="false"/>
          <w:color w:val="000000"/>
          <w:sz w:val="28"/>
        </w:rPr>
        <w:t>
</w:t>
      </w:r>
      <w:r>
        <w:rPr>
          <w:rFonts w:ascii="Times New Roman"/>
          <w:b/>
          <w:i w:val="false"/>
          <w:color w:val="000080"/>
          <w:sz w:val="28"/>
        </w:rPr>
        <w:t>тифлосредствами и обязательными гигиеническими средствами</w:t>
      </w:r>
      <w:r>
        <w:rPr>
          <w:rFonts w:ascii="Times New Roman"/>
          <w:b/>
          <w:i w:val="false"/>
          <w:color w:val="00008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 - оформление документов на инвалидов для обеспечения их сурдо-, тифлосредствами и обязательными гигиеническими средствами</w:t>
      </w:r>
      <w:r>
        <w:br/>
      </w:r>
      <w:r>
        <w:rPr>
          <w:rFonts w:ascii="Times New Roman"/>
          <w:b w:val="false"/>
          <w:i w:val="false"/>
          <w:color w:val="000000"/>
          <w:sz w:val="28"/>
        </w:rPr>
        <w:t>
      2. Форма оказываемой государственной услуги – государственная услуга частично автоматизированная.</w:t>
      </w:r>
      <w:r>
        <w:br/>
      </w:r>
      <w:r>
        <w:rPr>
          <w:rFonts w:ascii="Times New Roman"/>
          <w:b w:val="false"/>
          <w:i w:val="false"/>
          <w:color w:val="000000"/>
          <w:sz w:val="28"/>
        </w:rPr>
        <w:t xml:space="preserve">
      3. </w:t>
      </w:r>
      <w:r>
        <w:rPr>
          <w:rFonts w:ascii="Times New Roman"/>
          <w:b w:val="false"/>
          <w:i w:val="false"/>
          <w:color w:val="000000"/>
          <w:sz w:val="28"/>
        </w:rPr>
        <w:t xml:space="preserve">Название и статьи (пункта)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 39 «О социальной защите инвалидов в Республике Казахстан», Правил обеспечения инвалидов протезно-ортопедической помощью и техническими вспомогательными (компенсаторными) средствами,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754 «О некоторых вопросах реабилитации инвалидов».</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 - государственное учреждение «Аккайынский районный отдел занятости и социальных программ», юридический адрес: 150300, Северо-Казахстанская область, Аккайынский район, село Смирново, улица 9 Мая, 67, телефон 21265.</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уведомление.</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1) участники и инвалиды Великой Отечественной войны, а также лица, приравненные по льготам и гарантиям к инвалидам Великой Отечественной войны;</w:t>
      </w:r>
      <w:r>
        <w:br/>
      </w:r>
      <w:r>
        <w:rPr>
          <w:rFonts w:ascii="Times New Roman"/>
          <w:b w:val="false"/>
          <w:i w:val="false"/>
          <w:color w:val="000000"/>
          <w:sz w:val="28"/>
        </w:rPr>
        <w:t>
      2) инвалиды I, II, III группы;</w:t>
      </w:r>
      <w:r>
        <w:br/>
      </w:r>
      <w:r>
        <w:rPr>
          <w:rFonts w:ascii="Times New Roman"/>
          <w:b w:val="false"/>
          <w:i w:val="false"/>
          <w:color w:val="000000"/>
          <w:sz w:val="28"/>
        </w:rPr>
        <w:t>
      3) дети – инвалиды.</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так далее), подачи электронного запроса для получения государственной услуги – до 15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тому подобное) – 20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20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который требуется заполнить при оплате стоимости (сбора, платежа) государственной услуги – государственная услуга предоставляется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стенд в холле государственного учреждения «Аккайынский районный отдел занятости и социальных программ».</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 - график работы: с понедельника по пятницу, рабочее время с 9-00  до 18-30 часов, обеденный перерыв с 12-30 до 14-00 часов, выходной суббота и воскресенье, предварительной записи нет, ускоренного обслуживания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тому подобное) – прием осуществляется в кабинетах, в фойе имеется стол и стул для оформления документов, на стенде имеются образцы заявлений, соблюдена пожарная и охранная безопасность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бланк заявления, выдается - государственным учреждением «Аккайынский районный отдел занятости и социальных программ», по адресу: село Смирново, улица 9 Мая, 67; время работы с 9-00 до 18-30 часов, перерыв  на обед с 12-30 до 14-00 часов, телефон 21265;</w:t>
      </w:r>
      <w:r>
        <w:br/>
      </w:r>
      <w:r>
        <w:rPr>
          <w:rFonts w:ascii="Times New Roman"/>
          <w:b w:val="false"/>
          <w:i w:val="false"/>
          <w:color w:val="000000"/>
          <w:sz w:val="28"/>
        </w:rPr>
        <w:t>
      2) удостоверение личности заявителя выдается – Управлением юстиции Аккайынского района по Северо-Казахстанской области, по адресу: село Смирново, улица Труда, 11; время работы с 9-00 до 18-00 часов, перерыв на обед с 13-00 до 14-00 часов, телефон 22023;</w:t>
      </w:r>
      <w:r>
        <w:br/>
      </w:r>
      <w:r>
        <w:rPr>
          <w:rFonts w:ascii="Times New Roman"/>
          <w:b w:val="false"/>
          <w:i w:val="false"/>
          <w:color w:val="000000"/>
          <w:sz w:val="28"/>
        </w:rPr>
        <w:t>
      3) справка медико-социальной экспертизы - выдается комиссией медико-социальной экспертизы Министерства труда и социальной защиты населения по адресу: Северо-Казахстанская область, город Петропавловск, улица Абая, 64;</w:t>
      </w:r>
      <w:r>
        <w:br/>
      </w:r>
      <w:r>
        <w:rPr>
          <w:rFonts w:ascii="Times New Roman"/>
          <w:b w:val="false"/>
          <w:i w:val="false"/>
          <w:color w:val="000000"/>
          <w:sz w:val="28"/>
        </w:rPr>
        <w:t>
      4) индивидуальная программа реабилитации инвалида - выдается комиссией медико–социальной экспертизы Министерства труда и социальной защиты населения по адресу: Северо-Казахстанская область, город Петропавловск, улица Абая, 64.</w:t>
      </w:r>
      <w:r>
        <w:br/>
      </w:r>
      <w:r>
        <w:rPr>
          <w:rFonts w:ascii="Times New Roman"/>
          <w:b w:val="false"/>
          <w:i w:val="false"/>
          <w:color w:val="000000"/>
          <w:sz w:val="28"/>
        </w:rPr>
        <w:t>
      13. Указать ссылку на сайт, либо место выдачи бланков (форм заявлений и того подобное), которые необходимо заполнить для получения государственной услуги - главный специалист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7, телефон 22197.</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государственное учреждение «Аккайынский районный отдел занятости и социальных программ», адрес: Северо -  Казахстанская область, Аккайынский район, село Смирново, улица 9 Мая, 67, кабинет № 7, телефон 22197.</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талон,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электронная почта, через сайт, личное посещение, курьер и тому подобное - Аккайынский районный узел почтовой связи,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по адресу Северо-Казахстанская область, Аккайынский район, село Смирново, улица 9 Мая, 67 кабинет № 7, главный специалист по работе с ветеранами и инвалидами.</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 предоставлен полный перечень документов;</w:t>
      </w:r>
      <w:r>
        <w:br/>
      </w:r>
      <w:r>
        <w:rPr>
          <w:rFonts w:ascii="Times New Roman"/>
          <w:b w:val="false"/>
          <w:i w:val="false"/>
          <w:color w:val="000000"/>
          <w:sz w:val="28"/>
        </w:rPr>
        <w:t>
      2) предоставление недостоверных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 вежливость;</w:t>
      </w:r>
      <w:r>
        <w:br/>
      </w:r>
      <w:r>
        <w:rPr>
          <w:rFonts w:ascii="Times New Roman"/>
          <w:b w:val="false"/>
          <w:i w:val="false"/>
          <w:color w:val="000000"/>
          <w:sz w:val="28"/>
        </w:rPr>
        <w:t>
      - корректность;</w:t>
      </w:r>
      <w:r>
        <w:br/>
      </w:r>
      <w:r>
        <w:rPr>
          <w:rFonts w:ascii="Times New Roman"/>
          <w:b w:val="false"/>
          <w:i w:val="false"/>
          <w:color w:val="000000"/>
          <w:sz w:val="28"/>
        </w:rPr>
        <w:t>
      - исчерпывающая информация об оказываемой государственной услуге, в соответствии с нормативными актами;</w:t>
      </w:r>
      <w:r>
        <w:br/>
      </w:r>
      <w:r>
        <w:rPr>
          <w:rFonts w:ascii="Times New Roman"/>
          <w:b w:val="false"/>
          <w:i w:val="false"/>
          <w:color w:val="000000"/>
          <w:sz w:val="28"/>
        </w:rPr>
        <w:t>
      - обеспечение сохранности и конфиденциальности информации о содержании документов потребителя.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которые указаны в приложении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 телефон 21265.</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 50, телефон 21277;</w:t>
      </w:r>
      <w:r>
        <w:br/>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r>
        <w:br/>
      </w:r>
      <w:r>
        <w:rPr>
          <w:rFonts w:ascii="Times New Roman"/>
          <w:b w:val="false"/>
          <w:i w:val="false"/>
          <w:color w:val="000000"/>
          <w:sz w:val="28"/>
        </w:rPr>
        <w:t xml:space="preserve">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1)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электронный адрес: &lt; Akk soz@maiI onIine. Kz&gt;, кабинет № 5, телефон 21265, , график работы: ежедневно с 9-00 до 18-30 часов, перерыв на обед с 12-30 до 14-00 часов, выходной - суббота и воскресенье, прием граждан – понедельник, среда, пятница с 9-00 до 12-30 часов;</w:t>
      </w:r>
      <w:r>
        <w:br/>
      </w:r>
      <w:r>
        <w:rPr>
          <w:rFonts w:ascii="Times New Roman"/>
          <w:b w:val="false"/>
          <w:i w:val="false"/>
          <w:color w:val="000000"/>
          <w:sz w:val="28"/>
        </w:rPr>
        <w:t>
      2) заместитель начальника государственного учреждения  «Аккайынский районный отдел занятости и социальных программ», прием граждан - вторник, четверг с 9-00 до 12-30 часов.</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их сурдо-, тифлосредствами</w:t>
      </w:r>
      <w:r>
        <w:br/>
      </w:r>
      <w:r>
        <w:rPr>
          <w:rFonts w:ascii="Times New Roman"/>
          <w:b w:val="false"/>
          <w:i w:val="false"/>
          <w:color w:val="000000"/>
          <w:sz w:val="28"/>
        </w:rPr>
        <w:t>
и обязательными гигиеническими средствами»</w:t>
      </w:r>
    </w:p>
    <w:p>
      <w:pPr>
        <w:spacing w:after="0"/>
        <w:ind w:left="0"/>
        <w:jc w:val="both"/>
      </w:pPr>
      <w:r>
        <w:rPr>
          <w:rFonts w:ascii="Times New Roman"/>
          <w:b/>
          <w:i w:val="false"/>
          <w:color w:val="000080"/>
          <w:sz w:val="28"/>
        </w:rPr>
        <w:t>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0"/>
        <w:gridCol w:w="2439"/>
        <w:gridCol w:w="2904"/>
        <w:gridCol w:w="2197"/>
      </w:tblGrid>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впоследующем</w:t>
            </w:r>
            <w:r>
              <w:br/>
            </w:r>
            <w:r>
              <w:rPr>
                <w:rFonts w:ascii="Times New Roman"/>
                <w:b w:val="false"/>
                <w:i w:val="false"/>
                <w:color w:val="000000"/>
                <w:sz w:val="20"/>
              </w:rPr>
              <w:t>
году</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