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edc" w14:textId="22c0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отдельным категориям гарждан по решению Аккайынского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24. Зарегистрировано Управлением юстиции Аккайынского района Северо-Казахстанской области 29 февраля 2008 N 13-2-56.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статьей 20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 постановлениями Правительства Республики Казахстан от 30 июня 2007 года</w:t>
      </w:r>
      <w:r>
        <w:rPr>
          <w:rFonts w:ascii="Times New Roman"/>
          <w:b w:val="false"/>
          <w:i w:val="false"/>
          <w:color w:val="000000"/>
          <w:sz w:val="28"/>
        </w:rPr>
        <w:t xml:space="preserve"> № 558</w:t>
      </w:r>
      <w:r>
        <w:rPr>
          <w:rFonts w:ascii="Times New Roman"/>
          <w:b w:val="false"/>
          <w:i w:val="false"/>
          <w:color w:val="000000"/>
          <w:sz w:val="28"/>
        </w:rPr>
        <w:t xml:space="preserve"> «Об утверждении Типового стандарта оказания государственной услуги», от 30 июня 2007 года</w:t>
      </w:r>
      <w:r>
        <w:br/>
      </w:r>
      <w:r>
        <w:rPr>
          <w:rFonts w:ascii="Times New Roman"/>
          <w:b w:val="false"/>
          <w:i w:val="false"/>
          <w:color w:val="000000"/>
          <w:sz w:val="28"/>
        </w:rPr>
        <w:t>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отдельным категориям нуждающихся граждан по решению Аккайынского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24</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и выплата социальной помощи отдельным категориям</w:t>
      </w:r>
      <w:r>
        <w:br/>
      </w:r>
      <w:r>
        <w:rPr>
          <w:rFonts w:ascii="Times New Roman"/>
          <w:b w:val="false"/>
          <w:i w:val="false"/>
          <w:color w:val="000000"/>
          <w:sz w:val="28"/>
        </w:rPr>
        <w:t>
</w:t>
      </w:r>
      <w:r>
        <w:rPr>
          <w:rFonts w:ascii="Times New Roman"/>
          <w:b/>
          <w:i w:val="false"/>
          <w:color w:val="000080"/>
          <w:sz w:val="28"/>
        </w:rPr>
        <w:t>нуждающихся граждан по решению Аккайынского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назначение и выплата социальной помощи отдельным категориям нуждающихся граждан по решению Аккайынского районного маслихата (оформление документов для участников и инвалидов Великой Отечественной войны на зубопротезирование).</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xml:space="preserve">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статья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статья 20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апреля 1995 года № 2247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юридический адрес: 150300, Северо-Казахстанская область, Аккайынский район, село Смирново, улица 9 Мая, 67, адрес электронный почты: &lt; Akk soz@maiI onIine. Kz&gt;.</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выплата социальной помощи.</w:t>
      </w:r>
      <w:r>
        <w:br/>
      </w:r>
      <w:r>
        <w:rPr>
          <w:rFonts w:ascii="Times New Roman"/>
          <w:b w:val="false"/>
          <w:i w:val="false"/>
          <w:color w:val="000000"/>
          <w:sz w:val="28"/>
        </w:rPr>
        <w:t>
      6. Категория физических и юридических лиц, которым оказывается государственная услуга – государственная услуга оказывается гражданам, больным активным туберкулезом, состоящих на диспансерном учете в противотуберкулезных учреждениях области.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17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так далее)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выдается государственным учреждением «Аккайынский районный отдел занятости и социальных программ» адрес:</w:t>
      </w:r>
      <w:r>
        <w:br/>
      </w:r>
      <w:r>
        <w:rPr>
          <w:rFonts w:ascii="Times New Roman"/>
          <w:b w:val="false"/>
          <w:i w:val="false"/>
          <w:color w:val="000000"/>
          <w:sz w:val="28"/>
        </w:rPr>
        <w:t>
Северо-Казахстанская область, Аккайынский район, село Смирново, улица  9 Мая, 67, кабинет № 7, телефон 22197;</w:t>
      </w:r>
      <w:r>
        <w:br/>
      </w:r>
      <w:r>
        <w:rPr>
          <w:rFonts w:ascii="Times New Roman"/>
          <w:b w:val="false"/>
          <w:i w:val="false"/>
          <w:color w:val="000000"/>
          <w:sz w:val="28"/>
        </w:rPr>
        <w:t>
      2) удостоверение личности, (копия), выданное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3) копия документа, удостоверяющего статус, выданные Аккайынским районным отделением «Государственный центр по выплате пенсий» адрес: Северо-Казахстанская область, Аккайынский район, село Смирново, улица Гагарина, 44;</w:t>
      </w:r>
      <w:r>
        <w:br/>
      </w:r>
      <w:r>
        <w:rPr>
          <w:rFonts w:ascii="Times New Roman"/>
          <w:b w:val="false"/>
          <w:i w:val="false"/>
          <w:color w:val="000000"/>
          <w:sz w:val="28"/>
        </w:rPr>
        <w:t>
      4) копия документа, подтверждающего место жительства (книга регистрации граждан), выданное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5) счет-фактура о стоимости зубопротезирования, выданная бухгалтерией казенного государственного коммунального предприятия «Аккайынская районная поликлиника» по адресу: Северо-Казахстанская область,  Аккайынский района, село Смирново, улица Молодежная, 6;</w:t>
      </w:r>
      <w:r>
        <w:br/>
      </w:r>
      <w:r>
        <w:rPr>
          <w:rFonts w:ascii="Times New Roman"/>
          <w:b w:val="false"/>
          <w:i w:val="false"/>
          <w:color w:val="000000"/>
          <w:sz w:val="28"/>
        </w:rPr>
        <w:t>
      Документы, необходимые для получения социальной помощи предоставляются в подлинниках и в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тому подобное - Аккайынский районный узел почтовой связи,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 главный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услуге в соответствии с нормативными актами;</w:t>
      </w:r>
      <w:r>
        <w:br/>
      </w:r>
      <w:r>
        <w:rPr>
          <w:rFonts w:ascii="Times New Roman"/>
          <w:b w:val="false"/>
          <w:i w:val="false"/>
          <w:color w:val="000000"/>
          <w:sz w:val="28"/>
        </w:rPr>
        <w:t>
      - обеспечение сохранности, защиты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56, тедефон 21265.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электронной почты: &lt; Akk soz@maiI onIine. Kz&gt;, кабинет № 5, телефон 21265, ежедневно с 9-00 до 18-30 часов, перерыв на обед с 12-30 до 14-00 часов, выходной суббота и воскресенье, прием граждан начальником отдела – понедельник среда, пятница с 9-00 часов до 12-30 часов;</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прием граждан –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w:t>
      </w:r>
      <w:r>
        <w:br/>
      </w:r>
      <w:r>
        <w:rPr>
          <w:rFonts w:ascii="Times New Roman"/>
          <w:b w:val="false"/>
          <w:i w:val="false"/>
          <w:color w:val="000000"/>
          <w:sz w:val="28"/>
        </w:rPr>
        <w:t>
социальной помощи отдельным</w:t>
      </w:r>
      <w:r>
        <w:br/>
      </w:r>
      <w:r>
        <w:rPr>
          <w:rFonts w:ascii="Times New Roman"/>
          <w:b w:val="false"/>
          <w:i w:val="false"/>
          <w:color w:val="000000"/>
          <w:sz w:val="28"/>
        </w:rPr>
        <w:t>
категориям нуждающихся</w:t>
      </w:r>
      <w:r>
        <w:br/>
      </w:r>
      <w:r>
        <w:rPr>
          <w:rFonts w:ascii="Times New Roman"/>
          <w:b w:val="false"/>
          <w:i w:val="false"/>
          <w:color w:val="000000"/>
          <w:sz w:val="28"/>
        </w:rPr>
        <w:t>
граждан по решению Аккайынского</w:t>
      </w:r>
      <w:r>
        <w:br/>
      </w:r>
      <w:r>
        <w:rPr>
          <w:rFonts w:ascii="Times New Roman"/>
          <w:b w:val="false"/>
          <w:i w:val="false"/>
          <w:color w:val="000000"/>
          <w:sz w:val="28"/>
        </w:rPr>
        <w:t>
районного маслихата»</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414"/>
        <w:gridCol w:w="2615"/>
        <w:gridCol w:w="2596"/>
      </w:tblGrid>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