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aac0" w14:textId="9b6a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за право реализации товаров на рынках и на отдельные виды предпринимательской деятельности, носящей эпизодический характер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февраля 2008 года № 59. Зарегистрировано Управлением юстиции города Рудного Костанайской области 4 апреля 2008 года № 9-2-101. Утратило силу решением маслихата города Рудного Костанайской области от 28 июля 2009 года № 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города Рудного Костанайской области от 28.07.2009 № 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373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среднедневными данными хронометражных наблюдений и обследований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на административной территории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право реализации товаров на рынках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отдельные виды предпринимательской деятельности, носящей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ревизионную комиссию Рудненского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города Рудного Костанайской области от 23.01.2009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 Маханько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"Налоговый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Рудному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Зикеев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ревизионной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Рудненского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Шульга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февраля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  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на административной территории города Рудного</w:t>
      </w:r>
      <w:r>
        <w:br/>
      </w:r>
      <w:r>
        <w:rPr>
          <w:rFonts w:ascii="Times New Roman"/>
          <w:b/>
          <w:i w:val="false"/>
          <w:color w:val="000000"/>
        </w:rPr>
        <w:t>
за право реализации товаров на рынках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6743"/>
        <w:gridCol w:w="2997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разовых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Промышленные товары
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машин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контейнера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автомобильных запасных частей 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авторезины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изделий из меха, натуральной кожи (шубы, шапки) золота и хрусталя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дорогостоящей видео и аудиопродукции, бытовой техники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прилавка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рук (земли)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и изделий, бывших в употреблении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Продовольственные товары
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машин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земли (в мешках, ящиках)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контейнера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мясной и молочной продукции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кондитерских изделий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цветов (привозных)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яиц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овощей и фруктов (привозных)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молока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рук (земли)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февраля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      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на административной территории города Рудного</w:t>
      </w:r>
      <w:r>
        <w:br/>
      </w:r>
      <w:r>
        <w:rPr>
          <w:rFonts w:ascii="Times New Roman"/>
          <w:b/>
          <w:i w:val="false"/>
          <w:color w:val="000000"/>
        </w:rPr>
        <w:t>
на отдельные виды предпринимательской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
носящей эпизодический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приложении 2 строка таблицы под № 2 исключена  в соответствии с решением маслихата города Рудного Костанайской области от 23.01.2009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5351"/>
        <w:gridCol w:w="4282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разовых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Реализация: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9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