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6756" w14:textId="5ed6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водоохранных зон и полос в городах Актау, Форт-Шевченко, селе Курык и в зоне отдыха Кендерли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20 марта 2008 года N 181. Зарегистрировано Департаментом юстиции Мангистауской области 30 апреля 2008 года № 2009. Утратило силу постановлением акимата Мангистауской области от 24 августа 2023 года N 130</w:t>
      </w:r>
    </w:p>
    <w:p>
      <w:pPr>
        <w:spacing w:after="0"/>
        <w:ind w:left="0"/>
        <w:jc w:val="both"/>
      </w:pPr>
      <w:r>
        <w:rPr>
          <w:rFonts w:ascii="Times New Roman"/>
          <w:b w:val="false"/>
          <w:i w:val="false"/>
          <w:color w:val="ff0000"/>
          <w:sz w:val="28"/>
        </w:rPr>
        <w:t xml:space="preserve">
      Сноска. Утратило силу постановлением акимата Мангистауской области от 24.08.2023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0"/>
    <w:p>
      <w:pPr>
        <w:spacing w:after="0"/>
        <w:ind w:left="0"/>
        <w:jc w:val="both"/>
      </w:pPr>
      <w:r>
        <w:rPr>
          <w:rFonts w:ascii="Times New Roman"/>
          <w:b w:val="false"/>
          <w:i w:val="false"/>
          <w:color w:val="000000"/>
          <w:sz w:val="28"/>
        </w:rPr>
        <w:t xml:space="preserve">
      В соответствии с Водным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9 июля 2003 года, акимат области </w:t>
      </w:r>
      <w:r>
        <w:rPr>
          <w:rFonts w:ascii="Times New Roman"/>
          <w:b/>
          <w:i w:val="false"/>
          <w:color w:val="000000"/>
          <w:sz w:val="28"/>
        </w:rPr>
        <w:t>ПОСТАНОВЛЯЕТ:</w:t>
      </w:r>
    </w:p>
    <w:bookmarkEnd w:id="0"/>
    <w:bookmarkStart w:name="z1" w:id="1"/>
    <w:p>
      <w:pPr>
        <w:spacing w:after="0"/>
        <w:ind w:left="0"/>
        <w:jc w:val="both"/>
      </w:pPr>
      <w:r>
        <w:rPr>
          <w:rFonts w:ascii="Times New Roman"/>
          <w:b w:val="false"/>
          <w:i w:val="false"/>
          <w:color w:val="000000"/>
          <w:sz w:val="28"/>
        </w:rPr>
        <w:t xml:space="preserve">
      1. Установить водоохранные зоны, полосы и режим их хозяйственного использования на побережье Каспийского моря протяженностью 1399,5 км на основании утвержденных проектных документаций,согласно </w:t>
      </w:r>
      <w:r>
        <w:rPr>
          <w:rFonts w:ascii="Times New Roman"/>
          <w:b w:val="false"/>
          <w:i w:val="false"/>
          <w:color w:val="000000"/>
          <w:sz w:val="28"/>
        </w:rPr>
        <w:t>приложению 1</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постановлений акимата Мангистауской области от 29 апреля 2013 года № 118.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Утвердить перечень условий, запрещающих осуществление хозяйственной деятельности в пределах водоохранных зон и полос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3. Акимам районов и города Актау:</w:t>
      </w:r>
    </w:p>
    <w:bookmarkEnd w:id="3"/>
    <w:p>
      <w:pPr>
        <w:spacing w:after="0"/>
        <w:ind w:left="0"/>
        <w:jc w:val="both"/>
      </w:pPr>
      <w:r>
        <w:rPr>
          <w:rFonts w:ascii="Times New Roman"/>
          <w:b w:val="false"/>
          <w:i w:val="false"/>
          <w:color w:val="000000"/>
          <w:sz w:val="28"/>
        </w:rPr>
        <w:t>
      осуществить перенос границ водоохранных зон и полос в натуру, внесение изменений в земельно-учетную документацию и обеспечить постоянный контроль за проведением этих работ;</w:t>
      </w:r>
    </w:p>
    <w:p>
      <w:pPr>
        <w:spacing w:after="0"/>
        <w:ind w:left="0"/>
        <w:jc w:val="both"/>
      </w:pPr>
      <w:r>
        <w:rPr>
          <w:rFonts w:ascii="Times New Roman"/>
          <w:b w:val="false"/>
          <w:i w:val="false"/>
          <w:color w:val="000000"/>
          <w:sz w:val="28"/>
        </w:rPr>
        <w:t>
      отвод и использование территории в пределах водоохранных зон и полос для строительства и других специальных нужд проводить в строгом соответствии с требованиями пунктов 1 и 2 настоящего постановления.</w:t>
      </w:r>
    </w:p>
    <w:bookmarkStart w:name="z4" w:id="4"/>
    <w:p>
      <w:pPr>
        <w:spacing w:after="0"/>
        <w:ind w:left="0"/>
        <w:jc w:val="both"/>
      </w:pPr>
      <w:r>
        <w:rPr>
          <w:rFonts w:ascii="Times New Roman"/>
          <w:b w:val="false"/>
          <w:i w:val="false"/>
          <w:color w:val="000000"/>
          <w:sz w:val="28"/>
        </w:rPr>
        <w:t>
      4. Акимам районов и города Актау, акимам сельских округов рекомендовать руководителям предприятий, организаций, другим хозяйствующим субъектам, независимо от их ведомственной принадлежности и форм собственности, в пользовании которых находятся земельные участки, расположенные в пределах водоохранных зон и полос, обеспечить их содержание в надлежащем санитарном состоянии и соблюдение режима хозяйственного пользования.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Мангистауской области от 30.06.2016 </w:t>
      </w:r>
      <w:r>
        <w:rPr>
          <w:rFonts w:ascii="Times New Roman"/>
          <w:b w:val="false"/>
          <w:i w:val="false"/>
          <w:color w:val="000000"/>
          <w:sz w:val="28"/>
        </w:rPr>
        <w:t>№ 194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5. Управлению природных ресурсов и регулирования природопользования Мангистауской области (Бисенов Б.А.) в целях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 передать проектную документацию "Создание водоохранных зон и полос в городах Актау, Форт-Шевченко, селе Курык и в зоне отдыха Кендерли" специально уполномоченным государственным органам.</w:t>
      </w:r>
    </w:p>
    <w:bookmarkEnd w:id="5"/>
    <w:bookmarkStart w:name="z6"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области Трумова С.У.</w:t>
      </w:r>
    </w:p>
    <w:bookmarkEnd w:id="6"/>
    <w:bookmarkStart w:name="z7" w:id="7"/>
    <w:p>
      <w:pPr>
        <w:spacing w:after="0"/>
        <w:ind w:left="0"/>
        <w:jc w:val="both"/>
      </w:pPr>
      <w:r>
        <w:rPr>
          <w:rFonts w:ascii="Times New Roman"/>
          <w:b w:val="false"/>
          <w:i w:val="false"/>
          <w:color w:val="000000"/>
          <w:sz w:val="28"/>
        </w:rPr>
        <w:t>
      7. Настоящее постановление вводится в действие со дня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 области К. Кушербаев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Трумов С.У.</w:t>
      </w:r>
    </w:p>
    <w:p>
      <w:pPr>
        <w:spacing w:after="0"/>
        <w:ind w:left="0"/>
        <w:jc w:val="both"/>
      </w:pPr>
      <w:r>
        <w:rPr>
          <w:rFonts w:ascii="Times New Roman"/>
          <w:b w:val="false"/>
          <w:i w:val="false"/>
          <w:color w:val="000000"/>
          <w:sz w:val="28"/>
        </w:rPr>
        <w:t>
      Сахимов А.У.</w:t>
      </w:r>
    </w:p>
    <w:p>
      <w:pPr>
        <w:spacing w:after="0"/>
        <w:ind w:left="0"/>
        <w:jc w:val="both"/>
      </w:pPr>
      <w:r>
        <w:rPr>
          <w:rFonts w:ascii="Times New Roman"/>
          <w:b w:val="false"/>
          <w:i w:val="false"/>
          <w:color w:val="000000"/>
          <w:sz w:val="28"/>
        </w:rPr>
        <w:t>
      Бектурганов Е.А.</w:t>
      </w:r>
    </w:p>
    <w:p>
      <w:pPr>
        <w:spacing w:after="0"/>
        <w:ind w:left="0"/>
        <w:jc w:val="both"/>
      </w:pPr>
      <w:r>
        <w:rPr>
          <w:rFonts w:ascii="Times New Roman"/>
          <w:b w:val="false"/>
          <w:i w:val="false"/>
          <w:color w:val="000000"/>
          <w:sz w:val="28"/>
        </w:rPr>
        <w:t>
      Сейлханулы К.</w:t>
      </w:r>
    </w:p>
    <w:p>
      <w:pPr>
        <w:spacing w:after="0"/>
        <w:ind w:left="0"/>
        <w:jc w:val="both"/>
      </w:pPr>
      <w:r>
        <w:rPr>
          <w:rFonts w:ascii="Times New Roman"/>
          <w:b w:val="false"/>
          <w:i w:val="false"/>
          <w:color w:val="000000"/>
          <w:sz w:val="28"/>
        </w:rPr>
        <w:t>
      начальник управления земельных</w:t>
      </w:r>
    </w:p>
    <w:p>
      <w:pPr>
        <w:spacing w:after="0"/>
        <w:ind w:left="0"/>
        <w:jc w:val="both"/>
      </w:pPr>
      <w:r>
        <w:rPr>
          <w:rFonts w:ascii="Times New Roman"/>
          <w:b w:val="false"/>
          <w:i w:val="false"/>
          <w:color w:val="000000"/>
          <w:sz w:val="28"/>
        </w:rPr>
        <w:t>
      отношений Мангистауской области</w:t>
      </w:r>
    </w:p>
    <w:p>
      <w:pPr>
        <w:spacing w:after="0"/>
        <w:ind w:left="0"/>
        <w:jc w:val="both"/>
      </w:pPr>
      <w:r>
        <w:rPr>
          <w:rFonts w:ascii="Times New Roman"/>
          <w:b w:val="false"/>
          <w:i w:val="false"/>
          <w:color w:val="000000"/>
          <w:sz w:val="28"/>
        </w:rPr>
        <w:t>
      "20" марта 2008 года</w:t>
      </w:r>
    </w:p>
    <w:p>
      <w:pPr>
        <w:spacing w:after="0"/>
        <w:ind w:left="0"/>
        <w:jc w:val="both"/>
      </w:pPr>
      <w:r>
        <w:rPr>
          <w:rFonts w:ascii="Times New Roman"/>
          <w:b w:val="false"/>
          <w:i w:val="false"/>
          <w:color w:val="000000"/>
          <w:sz w:val="28"/>
        </w:rPr>
        <w:t>
      Дузмаганбетов Е.Д.</w:t>
      </w:r>
    </w:p>
    <w:p>
      <w:pPr>
        <w:spacing w:after="0"/>
        <w:ind w:left="0"/>
        <w:jc w:val="both"/>
      </w:pPr>
      <w:r>
        <w:rPr>
          <w:rFonts w:ascii="Times New Roman"/>
          <w:b w:val="false"/>
          <w:i w:val="false"/>
          <w:color w:val="000000"/>
          <w:sz w:val="28"/>
        </w:rPr>
        <w:t>
      и.о. начальника Мангистауского областного</w:t>
      </w:r>
    </w:p>
    <w:p>
      <w:pPr>
        <w:spacing w:after="0"/>
        <w:ind w:left="0"/>
        <w:jc w:val="both"/>
      </w:pPr>
      <w:r>
        <w:rPr>
          <w:rFonts w:ascii="Times New Roman"/>
          <w:b w:val="false"/>
          <w:i w:val="false"/>
          <w:color w:val="000000"/>
          <w:sz w:val="28"/>
        </w:rPr>
        <w:t xml:space="preserve">
      территориального Управления </w:t>
      </w:r>
    </w:p>
    <w:p>
      <w:pPr>
        <w:spacing w:after="0"/>
        <w:ind w:left="0"/>
        <w:jc w:val="both"/>
      </w:pPr>
      <w:r>
        <w:rPr>
          <w:rFonts w:ascii="Times New Roman"/>
          <w:b w:val="false"/>
          <w:i w:val="false"/>
          <w:color w:val="000000"/>
          <w:sz w:val="28"/>
        </w:rPr>
        <w:t>
      по управлению земельными ресурсами</w:t>
      </w:r>
    </w:p>
    <w:p>
      <w:pPr>
        <w:spacing w:after="0"/>
        <w:ind w:left="0"/>
        <w:jc w:val="both"/>
      </w:pPr>
      <w:r>
        <w:rPr>
          <w:rFonts w:ascii="Times New Roman"/>
          <w:b w:val="false"/>
          <w:i w:val="false"/>
          <w:color w:val="000000"/>
          <w:sz w:val="28"/>
        </w:rPr>
        <w:t>
      "20" марта 2008 года</w:t>
      </w:r>
    </w:p>
    <w:p>
      <w:pPr>
        <w:spacing w:after="0"/>
        <w:ind w:left="0"/>
        <w:jc w:val="both"/>
      </w:pPr>
      <w:r>
        <w:rPr>
          <w:rFonts w:ascii="Times New Roman"/>
          <w:b w:val="false"/>
          <w:i w:val="false"/>
          <w:color w:val="000000"/>
          <w:sz w:val="28"/>
        </w:rPr>
        <w:t>
      Ногаев Ы.Н.</w:t>
      </w:r>
    </w:p>
    <w:p>
      <w:pPr>
        <w:spacing w:after="0"/>
        <w:ind w:left="0"/>
        <w:jc w:val="both"/>
      </w:pPr>
      <w:r>
        <w:rPr>
          <w:rFonts w:ascii="Times New Roman"/>
          <w:b w:val="false"/>
          <w:i w:val="false"/>
          <w:color w:val="000000"/>
          <w:sz w:val="28"/>
        </w:rPr>
        <w:t>
      начальник территориального</w:t>
      </w:r>
    </w:p>
    <w:p>
      <w:pPr>
        <w:spacing w:after="0"/>
        <w:ind w:left="0"/>
        <w:jc w:val="both"/>
      </w:pPr>
      <w:r>
        <w:rPr>
          <w:rFonts w:ascii="Times New Roman"/>
          <w:b w:val="false"/>
          <w:i w:val="false"/>
          <w:color w:val="000000"/>
          <w:sz w:val="28"/>
        </w:rPr>
        <w:t>
      управления охраны окружающей среды</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"20" марта 2008 года</w:t>
      </w:r>
    </w:p>
    <w:p>
      <w:pPr>
        <w:spacing w:after="0"/>
        <w:ind w:left="0"/>
        <w:jc w:val="both"/>
      </w:pPr>
      <w:r>
        <w:rPr>
          <w:rFonts w:ascii="Times New Roman"/>
          <w:b w:val="false"/>
          <w:i w:val="false"/>
          <w:color w:val="000000"/>
          <w:sz w:val="28"/>
        </w:rPr>
        <w:t>
      Утесинов Б.Б.</w:t>
      </w:r>
    </w:p>
    <w:p>
      <w:pPr>
        <w:spacing w:after="0"/>
        <w:ind w:left="0"/>
        <w:jc w:val="both"/>
      </w:pPr>
      <w:r>
        <w:rPr>
          <w:rFonts w:ascii="Times New Roman"/>
          <w:b w:val="false"/>
          <w:i w:val="false"/>
          <w:color w:val="000000"/>
          <w:sz w:val="28"/>
        </w:rPr>
        <w:t>
      директор департамента государственного</w:t>
      </w:r>
    </w:p>
    <w:p>
      <w:pPr>
        <w:spacing w:after="0"/>
        <w:ind w:left="0"/>
        <w:jc w:val="both"/>
      </w:pPr>
      <w:r>
        <w:rPr>
          <w:rFonts w:ascii="Times New Roman"/>
          <w:b w:val="false"/>
          <w:i w:val="false"/>
          <w:color w:val="000000"/>
          <w:sz w:val="28"/>
        </w:rPr>
        <w:t>
      санитарно-эпидемиологического надзора</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"20" марта 2008 года</w:t>
      </w:r>
    </w:p>
    <w:p>
      <w:pPr>
        <w:spacing w:after="0"/>
        <w:ind w:left="0"/>
        <w:jc w:val="both"/>
      </w:pPr>
      <w:r>
        <w:rPr>
          <w:rFonts w:ascii="Times New Roman"/>
          <w:b w:val="false"/>
          <w:i w:val="false"/>
          <w:color w:val="000000"/>
          <w:sz w:val="28"/>
        </w:rPr>
        <w:t>
      Куанов Б.О.</w:t>
      </w:r>
    </w:p>
    <w:p>
      <w:pPr>
        <w:spacing w:after="0"/>
        <w:ind w:left="0"/>
        <w:jc w:val="both"/>
      </w:pPr>
      <w:r>
        <w:rPr>
          <w:rFonts w:ascii="Times New Roman"/>
          <w:b w:val="false"/>
          <w:i w:val="false"/>
          <w:color w:val="000000"/>
          <w:sz w:val="28"/>
        </w:rPr>
        <w:t>
      начальник Урало-Каспийского бассейнового</w:t>
      </w:r>
    </w:p>
    <w:p>
      <w:pPr>
        <w:spacing w:after="0"/>
        <w:ind w:left="0"/>
        <w:jc w:val="both"/>
      </w:pPr>
      <w:r>
        <w:rPr>
          <w:rFonts w:ascii="Times New Roman"/>
          <w:b w:val="false"/>
          <w:i w:val="false"/>
          <w:color w:val="000000"/>
          <w:sz w:val="28"/>
        </w:rPr>
        <w:t>
      водохозяйственного управления</w:t>
      </w:r>
    </w:p>
    <w:p>
      <w:pPr>
        <w:spacing w:after="0"/>
        <w:ind w:left="0"/>
        <w:jc w:val="both"/>
      </w:pPr>
      <w:r>
        <w:rPr>
          <w:rFonts w:ascii="Times New Roman"/>
          <w:b w:val="false"/>
          <w:i w:val="false"/>
          <w:color w:val="000000"/>
          <w:sz w:val="28"/>
        </w:rPr>
        <w:t>
      "20" марта 2008 года</w:t>
      </w:r>
    </w:p>
    <w:p>
      <w:pPr>
        <w:spacing w:after="0"/>
        <w:ind w:left="0"/>
        <w:jc w:val="both"/>
      </w:pPr>
      <w:r>
        <w:rPr>
          <w:rFonts w:ascii="Times New Roman"/>
          <w:b w:val="false"/>
          <w:i w:val="false"/>
          <w:color w:val="000000"/>
          <w:sz w:val="28"/>
        </w:rPr>
        <w:t>
      Исп: Бисенов Б.А.</w:t>
      </w:r>
    </w:p>
    <w:p>
      <w:pPr>
        <w:spacing w:after="0"/>
        <w:ind w:left="0"/>
        <w:jc w:val="both"/>
      </w:pPr>
      <w:r>
        <w:rPr>
          <w:rFonts w:ascii="Times New Roman"/>
          <w:b w:val="false"/>
          <w:i w:val="false"/>
          <w:color w:val="000000"/>
          <w:sz w:val="28"/>
        </w:rPr>
        <w:t>
      начальник управления природных ресурсов</w:t>
      </w:r>
    </w:p>
    <w:p>
      <w:pPr>
        <w:spacing w:after="0"/>
        <w:ind w:left="0"/>
        <w:jc w:val="both"/>
      </w:pPr>
      <w:r>
        <w:rPr>
          <w:rFonts w:ascii="Times New Roman"/>
          <w:b w:val="false"/>
          <w:i w:val="false"/>
          <w:color w:val="000000"/>
          <w:sz w:val="28"/>
        </w:rPr>
        <w:t>
      и регулирования природопользования</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"20" марта 2008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w:t>
            </w:r>
            <w:r>
              <w:br/>
            </w:r>
            <w:r>
              <w:rPr>
                <w:rFonts w:ascii="Times New Roman"/>
                <w:b w:val="false"/>
                <w:i w:val="false"/>
                <w:color w:val="000000"/>
                <w:sz w:val="20"/>
              </w:rPr>
              <w:t>к постановлению акимата</w:t>
            </w:r>
            <w:r>
              <w:br/>
            </w:r>
            <w:r>
              <w:rPr>
                <w:rFonts w:ascii="Times New Roman"/>
                <w:b w:val="false"/>
                <w:i w:val="false"/>
                <w:color w:val="000000"/>
                <w:sz w:val="20"/>
              </w:rPr>
              <w:t>Мангистауской области</w:t>
            </w:r>
            <w:r>
              <w:br/>
            </w:r>
            <w:r>
              <w:rPr>
                <w:rFonts w:ascii="Times New Roman"/>
                <w:b w:val="false"/>
                <w:i w:val="false"/>
                <w:color w:val="000000"/>
                <w:sz w:val="20"/>
              </w:rPr>
              <w:t>от 20 марта 2008 года N 181</w:t>
            </w:r>
          </w:p>
        </w:tc>
      </w:tr>
    </w:tbl>
    <w:p>
      <w:pPr>
        <w:spacing w:after="0"/>
        <w:ind w:left="0"/>
        <w:jc w:val="both"/>
      </w:pPr>
      <w:r>
        <w:rPr>
          <w:rFonts w:ascii="Times New Roman"/>
          <w:b w:val="false"/>
          <w:i w:val="false"/>
          <w:color w:val="ff0000"/>
          <w:sz w:val="28"/>
        </w:rPr>
        <w:t xml:space="preserve">
      Сноска. Приложение в редакции постановления акимата Мангистауской области от 19.10.2017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Установление водоохранных зони полос в городах Актау,Форт-Шевченко, селе Курык ив зоне отдыха Кендерли</w:t>
      </w:r>
    </w:p>
    <w:bookmarkStart w:name="z6" w:id="8"/>
    <w:p>
      <w:pPr>
        <w:spacing w:after="0"/>
        <w:ind w:left="0"/>
        <w:jc w:val="both"/>
      </w:pPr>
      <w:r>
        <w:rPr>
          <w:rFonts w:ascii="Times New Roman"/>
          <w:b w:val="false"/>
          <w:i w:val="false"/>
          <w:color w:val="000000"/>
          <w:sz w:val="28"/>
        </w:rPr>
        <w:t>
      В соответствии утвержденной проектной документации "Создание водоохранных зон и полос в городах Актау, Форт-Шевченко, селе Курык и в зоне отдыха Кендерли" устанавливается:</w:t>
      </w:r>
    </w:p>
    <w:bookmarkEnd w:id="8"/>
    <w:bookmarkStart w:name="z7" w:id="9"/>
    <w:p>
      <w:pPr>
        <w:spacing w:after="0"/>
        <w:ind w:left="0"/>
        <w:jc w:val="both"/>
      </w:pPr>
      <w:r>
        <w:rPr>
          <w:rFonts w:ascii="Times New Roman"/>
          <w:b w:val="false"/>
          <w:i w:val="false"/>
          <w:color w:val="000000"/>
          <w:sz w:val="28"/>
        </w:rPr>
        <w:t>
      1. Размеры и границы водоохранных зон на территории города Актау установлены исходя из конкретных условий планировки и застройки в соответствии с утвержденным генеральным планом.</w:t>
      </w:r>
    </w:p>
    <w:bookmarkEnd w:id="9"/>
    <w:bookmarkStart w:name="z8" w:id="10"/>
    <w:p>
      <w:pPr>
        <w:spacing w:after="0"/>
        <w:ind w:left="0"/>
        <w:jc w:val="both"/>
      </w:pPr>
      <w:r>
        <w:rPr>
          <w:rFonts w:ascii="Times New Roman"/>
          <w:b w:val="false"/>
          <w:i w:val="false"/>
          <w:color w:val="000000"/>
          <w:sz w:val="28"/>
        </w:rPr>
        <w:t>
      Ширина водоохранной зоны на побережье Каспийского моря по территории городе Актау протяженностью 96,0 км принимается от отметки средне-многолетнего уровня моря за последнее десятилетие, равной минус 27,0 метра до границы проспекта Президента Республики Казахстан, улицы Строительная и далее по асфальтированным дорогам до села Умирзак.</w:t>
      </w:r>
    </w:p>
    <w:bookmarkEnd w:id="10"/>
    <w:bookmarkStart w:name="z9" w:id="11"/>
    <w:p>
      <w:pPr>
        <w:spacing w:after="0"/>
        <w:ind w:left="0"/>
        <w:jc w:val="both"/>
      </w:pPr>
      <w:r>
        <w:rPr>
          <w:rFonts w:ascii="Times New Roman"/>
          <w:b w:val="false"/>
          <w:i w:val="false"/>
          <w:color w:val="000000"/>
          <w:sz w:val="28"/>
        </w:rPr>
        <w:t>
      Ширина водоохранных полос для участков моря территории города Актау, имеющих особо ценное рыбохозяйственное значение, принимается не менее 100 м независимо от уклона и характера прилагающих земель.</w:t>
      </w:r>
    </w:p>
    <w:bookmarkEnd w:id="11"/>
    <w:bookmarkStart w:name="z10" w:id="12"/>
    <w:p>
      <w:pPr>
        <w:spacing w:after="0"/>
        <w:ind w:left="0"/>
        <w:jc w:val="both"/>
      </w:pPr>
      <w:r>
        <w:rPr>
          <w:rFonts w:ascii="Times New Roman"/>
          <w:b w:val="false"/>
          <w:i w:val="false"/>
          <w:color w:val="000000"/>
          <w:sz w:val="28"/>
        </w:rPr>
        <w:t>
      В городе Актау при наличии ливневой канализации и набережной, граница водоохранной полосы совмещается с парапетом набережной.</w:t>
      </w:r>
    </w:p>
    <w:bookmarkEnd w:id="12"/>
    <w:bookmarkStart w:name="z11" w:id="13"/>
    <w:p>
      <w:pPr>
        <w:spacing w:after="0"/>
        <w:ind w:left="0"/>
        <w:jc w:val="both"/>
      </w:pPr>
      <w:r>
        <w:rPr>
          <w:rFonts w:ascii="Times New Roman"/>
          <w:b w:val="false"/>
          <w:i w:val="false"/>
          <w:color w:val="000000"/>
          <w:sz w:val="28"/>
        </w:rPr>
        <w:t>
      2. Ширина водоохраной зоны на побережье Каспийского моря по территориям города Форт-Шевченко Тупкараганского района протяженностью 38,5 км, село Курык протяженностью 61,0 км и в зоне отдыха Кендерли протяженностью 89,0 км Каракиянского района принимается 2000 метров от отметки средне-многолетнего уровня моря за последнее десятилетие, равной минус 27,0 метра.</w:t>
      </w:r>
    </w:p>
    <w:bookmarkEnd w:id="13"/>
    <w:bookmarkStart w:name="z12" w:id="14"/>
    <w:p>
      <w:pPr>
        <w:spacing w:after="0"/>
        <w:ind w:left="0"/>
        <w:jc w:val="both"/>
      </w:pPr>
      <w:r>
        <w:rPr>
          <w:rFonts w:ascii="Times New Roman"/>
          <w:b w:val="false"/>
          <w:i w:val="false"/>
          <w:color w:val="000000"/>
          <w:sz w:val="28"/>
        </w:rPr>
        <w:t>
      Ширина водоохранных полос для участков моря территории города Форт – Шевченко, села Курык и в зоне отдыха Кендерли, имеющих особо ценное рыбохозяйственное значение, принимается не менее 100 метров, независимо от уклона и характера прилегающих земель, кроме водоохранной полосы на побережье Каспийского моря протяженностью 1, 12 км на отсыпной площадке базы морских нефтяных операций Аташ, бухта Баутино Тупкараганского района на основании утвержденной проектной документации.</w:t>
      </w:r>
    </w:p>
    <w:bookmarkEnd w:id="14"/>
    <w:bookmarkStart w:name="z13" w:id="15"/>
    <w:p>
      <w:pPr>
        <w:spacing w:after="0"/>
        <w:ind w:left="0"/>
        <w:jc w:val="both"/>
      </w:pPr>
      <w:r>
        <w:rPr>
          <w:rFonts w:ascii="Times New Roman"/>
          <w:b w:val="false"/>
          <w:i w:val="false"/>
          <w:color w:val="000000"/>
          <w:sz w:val="28"/>
        </w:rPr>
        <w:t>
      Граница водоохранных полос для участков моря на отсыпной площадке базы нефтяных операций Аташ, бухта Баутино Тупкараганского района совмещается с парапетом в границах площадки базы Аташ и соединяется главной кривой с существующей границей водоохранной полосы Каспийского моря.</w:t>
      </w:r>
    </w:p>
    <w:bookmarkEnd w:id="15"/>
    <w:bookmarkStart w:name="z14" w:id="16"/>
    <w:p>
      <w:pPr>
        <w:spacing w:after="0"/>
        <w:ind w:left="0"/>
        <w:jc w:val="both"/>
      </w:pPr>
      <w:r>
        <w:rPr>
          <w:rFonts w:ascii="Times New Roman"/>
          <w:b w:val="false"/>
          <w:i w:val="false"/>
          <w:color w:val="000000"/>
          <w:sz w:val="28"/>
        </w:rPr>
        <w:t>
      Ширина водоохранных полос для участков моря территории города Форт-Шевченко, села Курык и в зоне отдыха Кендерли, имеющих особо ценное рыбохозяйственное значение, принимается не менее 100 метров, независимо от уклона и характера прилегающих земель, кроме водоохранных полос на побережье Каспийского моря протяженностью 1,369 км на отсыпной производственной площадке на Восточном побережье Тюб-Караганского залива в районе села Баутино Тупкараганского района Мангистауской области под размещение завода металлоконструкций для обустройства морских нефтяных месторождений и 1,61 км на отсыпной площадке Базы поддержки морских нефтяных операций села Баутино Тупкараганского района Мангистауской области на основании утвержденных проектных документаций.</w:t>
      </w:r>
    </w:p>
    <w:bookmarkEnd w:id="16"/>
    <w:bookmarkStart w:name="z15" w:id="17"/>
    <w:p>
      <w:pPr>
        <w:spacing w:after="0"/>
        <w:ind w:left="0"/>
        <w:jc w:val="both"/>
      </w:pPr>
      <w:r>
        <w:rPr>
          <w:rFonts w:ascii="Times New Roman"/>
          <w:b w:val="false"/>
          <w:i w:val="false"/>
          <w:color w:val="000000"/>
          <w:sz w:val="28"/>
        </w:rPr>
        <w:t>
      Границы водоохранных полос для участков моря на отсыпной производственной площадке на Восточном побережье Тюб-Караганского залива в районе села Баутино Тупкараганского района Мангистауской области под размещение завода металлоконструкций для обустройства морских нефтяных месторождений, устанавливается со стороны причальных стенок 35 метров, с северной и южной стороны 20 метров от среднего уровня Каспийского моря и соединяется под прямым углом с существующей границей водоохранной полосы Каспийского моря.</w:t>
      </w:r>
    </w:p>
    <w:bookmarkEnd w:id="17"/>
    <w:bookmarkStart w:name="z16" w:id="18"/>
    <w:p>
      <w:pPr>
        <w:spacing w:after="0"/>
        <w:ind w:left="0"/>
        <w:jc w:val="both"/>
      </w:pPr>
      <w:r>
        <w:rPr>
          <w:rFonts w:ascii="Times New Roman"/>
          <w:b w:val="false"/>
          <w:i w:val="false"/>
          <w:color w:val="000000"/>
          <w:sz w:val="28"/>
        </w:rPr>
        <w:t>
      Граница водоохранных полос для участков моря на отсыпной Базе поддержки морских нефтяных операций села Баутино Тупкараганского района Мангистауской области устанавливается по фронтальной границе причальной стенки и парапету, в границах площадки базы и вдоль боковых откосов по парапету на расстоянии 10 метров от среднего уровня Каспийского моря и соединяется с существующей границей водоохранной полосы Каспийского моря.</w:t>
      </w:r>
    </w:p>
    <w:bookmarkEnd w:id="18"/>
    <w:bookmarkStart w:name="z17" w:id="19"/>
    <w:p>
      <w:pPr>
        <w:spacing w:after="0"/>
        <w:ind w:left="0"/>
        <w:jc w:val="both"/>
      </w:pPr>
      <w:r>
        <w:rPr>
          <w:rFonts w:ascii="Times New Roman"/>
          <w:b w:val="false"/>
          <w:i w:val="false"/>
          <w:color w:val="000000"/>
          <w:sz w:val="28"/>
        </w:rPr>
        <w:t>
      Ширина водоохранных полос для участков моря территории в городах Актау, Форт–Шевченко, селе Курык и в зоне отдыха Кендерли, имеющих особо ценное рыбохозяйственное значение, принимается не менее 100 метров, независимо от уклона и характера прилегающих земель, кроме водоохранных полос на побережье Каспийского моря протяженностью 4,075 км на искусственно созданной отсыпаемой производственной площадке цеха буровых растворов с причальной стенкой и обустройством парапета высотой 50 см и сопряжением с береговой линией моря, укрепленных строительством берегоукрепительных сооружений с обустройством парапета высотой 50 см в северном, южном, восточном и юго-восточном направлении северо-западного побережья Тюб-Караганского залива в районе села Баутино Тупкараганского района Мангистауской области под размещение цеха буровых растворов, базы поддержки морских нефтяных операций на основании утвержденной проектной документации.</w:t>
      </w:r>
    </w:p>
    <w:bookmarkEnd w:id="19"/>
    <w:bookmarkStart w:name="z18" w:id="20"/>
    <w:p>
      <w:pPr>
        <w:spacing w:after="0"/>
        <w:ind w:left="0"/>
        <w:jc w:val="both"/>
      </w:pPr>
      <w:r>
        <w:rPr>
          <w:rFonts w:ascii="Times New Roman"/>
          <w:b w:val="false"/>
          <w:i w:val="false"/>
          <w:color w:val="000000"/>
          <w:sz w:val="28"/>
        </w:rPr>
        <w:t>
      Существующую границу водоохранной полосы проходящую на расстоянии 100 метров от естественной береговой линии моря в районе производственной площадки цеха буровых растворов и береговой линии побережья моря, в границах площадки цеха заменить границей водоохранной полосы, совмещенной с парапетом производственной площадки цеха и берегоукрепительных сооружений, от границ площадки цеха в северном, южном, восточном и юго-восточном направлении с установлением водоохранной полосы шириной не менее 35,0 метров от отметки средне-многолетнего уровня моря за последнее десятилетие равной минус 27,0 метров.</w:t>
      </w:r>
    </w:p>
    <w:bookmarkEnd w:id="20"/>
    <w:bookmarkStart w:name="z19" w:id="21"/>
    <w:p>
      <w:pPr>
        <w:spacing w:after="0"/>
        <w:ind w:left="0"/>
        <w:jc w:val="both"/>
      </w:pPr>
      <w:r>
        <w:rPr>
          <w:rFonts w:ascii="Times New Roman"/>
          <w:b w:val="false"/>
          <w:i w:val="false"/>
          <w:color w:val="000000"/>
          <w:sz w:val="28"/>
        </w:rPr>
        <w:t>
      Ширина водоохранных полос для участков моря территории в городах Актау, Форт – Шевченко, селе Курык и в зоне отдыха Кендерли, имеющих особо ценное рыбохозяйственное значение, принимается не менее 100 метров, независимо от уклона и характера прилегающих земель, а в населенных пунктах протяженностью на участке города Актау - 83,0 км (координаты точек переноса границы водоохранной полосы С (4953315; 10034132) Д (4862525; 10065137), города Форт - Шевченко - 19,0 км (координаты точек переноса границы водоохранной полосы А (4994790; 9985280) В (4993680; 9981590), села Курык - 12,0 км (координаты точек переноса границы водоохранной полосы Е (4842890; 10079230) F (4838320; 10087670), в зоне отдыха Кендерли - 7,0 км (координаты точек переноса границы водоохранной полосы Т (4795800; 10149610) U (4787830; 10157500) принимается минимальная ширина водоохранной полосы 35 метров на основании утвержденной проектно-сметной документации.</w:t>
      </w:r>
    </w:p>
    <w:bookmarkEnd w:id="21"/>
    <w:bookmarkStart w:name="z20" w:id="22"/>
    <w:p>
      <w:pPr>
        <w:spacing w:after="0"/>
        <w:ind w:left="0"/>
        <w:jc w:val="both"/>
      </w:pPr>
      <w:r>
        <w:rPr>
          <w:rFonts w:ascii="Times New Roman"/>
          <w:b w:val="false"/>
          <w:i w:val="false"/>
          <w:color w:val="000000"/>
          <w:sz w:val="28"/>
        </w:rPr>
        <w:t>
      Минимальную ширину водоохранной полосы 35 метров на основании утвержденной проектно-сметной документации для участков моря в районе Базы поддержки морских операций в селе Баутино Тупкараганского района, ранее имеющую длину 377,32 метра, заменить границей водоохранной полосы со стороны земляной насыпи длиной 289,77 метров (координаты переноса границы водоохранной полосы от точки А (х=440772,6; у=4934146,7) до точки Ж (х=440817,5; у=4934419,5).</w:t>
      </w:r>
    </w:p>
    <w:bookmarkEnd w:id="22"/>
    <w:bookmarkStart w:name="z21" w:id="23"/>
    <w:p>
      <w:pPr>
        <w:spacing w:after="0"/>
        <w:ind w:left="0"/>
        <w:jc w:val="both"/>
      </w:pPr>
      <w:r>
        <w:rPr>
          <w:rFonts w:ascii="Times New Roman"/>
          <w:b w:val="false"/>
          <w:i w:val="false"/>
          <w:color w:val="000000"/>
          <w:sz w:val="28"/>
        </w:rPr>
        <w:t>
      3. Организация водоохранных зон не исключает создания зон санитарной охраны водных источников, используемых для водоснабжения курортных, оздоровительных и иных нужд населения, границы и размеры, которых устанавливаются в соответствии с действующими нормативными правовыми актами в области санитарно-эпидемиологического благополучия населения.</w:t>
      </w:r>
    </w:p>
    <w:bookmarkEnd w:id="23"/>
    <w:bookmarkStart w:name="z22" w:id="24"/>
    <w:p>
      <w:pPr>
        <w:spacing w:after="0"/>
        <w:ind w:left="0"/>
        <w:jc w:val="both"/>
      </w:pPr>
      <w:r>
        <w:rPr>
          <w:rFonts w:ascii="Times New Roman"/>
          <w:b w:val="false"/>
          <w:i w:val="false"/>
          <w:color w:val="000000"/>
          <w:sz w:val="28"/>
        </w:rPr>
        <w:t>
      4. Новое предоставление земельных участков в водоохранных зонах и полосах местными исполнительными органами производится по согласованию со специально уполномоченными органами в области использования и охраны водного фонда, охраны окружающей среды и санитарно-эпидемиологического надзора.</w:t>
      </w:r>
    </w:p>
    <w:bookmarkEnd w:id="24"/>
    <w:p>
      <w:pPr>
        <w:spacing w:after="0"/>
        <w:ind w:left="0"/>
        <w:jc w:val="left"/>
      </w:pPr>
      <w:r>
        <w:rPr>
          <w:rFonts w:ascii="Times New Roman"/>
          <w:b/>
          <w:i w:val="false"/>
          <w:color w:val="000000"/>
        </w:rPr>
        <w:t xml:space="preserve"> 2. Установление водоохранных зон и полос на побережье Каспийского моря Мангистауской области с длиной 1115 километров</w:t>
      </w:r>
    </w:p>
    <w:bookmarkStart w:name="z23" w:id="25"/>
    <w:p>
      <w:pPr>
        <w:spacing w:after="0"/>
        <w:ind w:left="0"/>
        <w:jc w:val="both"/>
      </w:pPr>
      <w:r>
        <w:rPr>
          <w:rFonts w:ascii="Times New Roman"/>
          <w:b w:val="false"/>
          <w:i w:val="false"/>
          <w:color w:val="000000"/>
          <w:sz w:val="28"/>
        </w:rPr>
        <w:t>
        1.В соответствии утвержденной проектной документации "Установление водоохраных зон и полос на побережье Каспийского моря Мангистауской области" устанавливается:</w:t>
      </w:r>
    </w:p>
    <w:bookmarkEnd w:id="25"/>
    <w:bookmarkStart w:name="z24" w:id="26"/>
    <w:p>
      <w:pPr>
        <w:spacing w:after="0"/>
        <w:ind w:left="0"/>
        <w:jc w:val="both"/>
      </w:pPr>
      <w:r>
        <w:rPr>
          <w:rFonts w:ascii="Times New Roman"/>
          <w:b w:val="false"/>
          <w:i w:val="false"/>
          <w:color w:val="000000"/>
          <w:sz w:val="28"/>
        </w:rPr>
        <w:t>
        1) ширина водоохранных зон и полос на побережье Каспийского моря Мангистауской области по участкам: </w:t>
      </w:r>
    </w:p>
    <w:bookmarkEnd w:id="26"/>
    <w:bookmarkStart w:name="z25" w:id="27"/>
    <w:p>
      <w:pPr>
        <w:spacing w:after="0"/>
        <w:ind w:left="0"/>
        <w:jc w:val="both"/>
      </w:pPr>
      <w:r>
        <w:rPr>
          <w:rFonts w:ascii="Times New Roman"/>
          <w:b w:val="false"/>
          <w:i w:val="false"/>
          <w:color w:val="000000"/>
          <w:sz w:val="28"/>
        </w:rPr>
        <w:t>
       на участке Атырауская область (45Ү 3' 10" северной широты, 54Ү 11' 24" восточной долготы) – Форт-Шевченко (44Ү 37' 29" северной широты, 50Ү 33' 46" восточной долготы) протяженностью 898 километр, ширина принимается от 2000-100 метра соответственно,</w:t>
      </w:r>
    </w:p>
    <w:bookmarkEnd w:id="27"/>
    <w:bookmarkStart w:name="z26" w:id="28"/>
    <w:p>
      <w:pPr>
        <w:spacing w:after="0"/>
        <w:ind w:left="0"/>
        <w:jc w:val="both"/>
      </w:pPr>
      <w:r>
        <w:rPr>
          <w:rFonts w:ascii="Times New Roman"/>
          <w:b w:val="false"/>
          <w:i w:val="false"/>
          <w:color w:val="000000"/>
          <w:sz w:val="28"/>
        </w:rPr>
        <w:t>
       на участке Форт-Шевченко (44Ү 19' 48" северной широты, 54Ү 11' 24" восточной долготы) – Актау (44Ү 4' 30" северной широты, 50Ү 57' 30" восточной долготы) протяженностью 60 километр, ширина принимается от 2000-100 метра соответственно,</w:t>
      </w:r>
    </w:p>
    <w:bookmarkEnd w:id="28"/>
    <w:bookmarkStart w:name="z27" w:id="29"/>
    <w:p>
      <w:pPr>
        <w:spacing w:after="0"/>
        <w:ind w:left="0"/>
        <w:jc w:val="both"/>
      </w:pPr>
      <w:r>
        <w:rPr>
          <w:rFonts w:ascii="Times New Roman"/>
          <w:b w:val="false"/>
          <w:i w:val="false"/>
          <w:color w:val="000000"/>
          <w:sz w:val="28"/>
        </w:rPr>
        <w:t>
      на участке Актау (43Ү 20' 24" северной широты, 51Ү 19' 18" восточной долготы) – Курык (43Ү 11' 10" северной широты, 51Ү 16' 48" восточной долготы) протяженностью 15,0 километр, ширина принимается от 2000-100 метра соответственно,</w:t>
      </w:r>
    </w:p>
    <w:bookmarkEnd w:id="29"/>
    <w:bookmarkStart w:name="z28" w:id="30"/>
    <w:p>
      <w:pPr>
        <w:spacing w:after="0"/>
        <w:ind w:left="0"/>
        <w:jc w:val="both"/>
      </w:pPr>
      <w:r>
        <w:rPr>
          <w:rFonts w:ascii="Times New Roman"/>
          <w:b w:val="false"/>
          <w:i w:val="false"/>
          <w:color w:val="000000"/>
          <w:sz w:val="28"/>
        </w:rPr>
        <w:t>
       на участке Курык (42Ү 57' 0" северной широты, 51Ү 48' 29" восточной долготы) – Кендерли (42Ү 52' 21" северной широты, 52Ү 12' 39" восточной долготы) протяженностью 68 километр, ширина принимается от 2000-100 метра соответственно,</w:t>
      </w:r>
    </w:p>
    <w:bookmarkEnd w:id="30"/>
    <w:bookmarkStart w:name="z29" w:id="31"/>
    <w:p>
      <w:pPr>
        <w:spacing w:after="0"/>
        <w:ind w:left="0"/>
        <w:jc w:val="both"/>
      </w:pPr>
      <w:r>
        <w:rPr>
          <w:rFonts w:ascii="Times New Roman"/>
          <w:b w:val="false"/>
          <w:i w:val="false"/>
          <w:color w:val="000000"/>
          <w:sz w:val="28"/>
        </w:rPr>
        <w:t>
      на участке Кендерли (42* 22' 9" северной широты, 52Ү 37' 22" восточной долготы) – государственная граница Республики Туркменистан (41Ү 46' 22" северной широты, 52Ү 26' 43" восточной долготы) протяженностью 74 километр, ширина принимается от 2000-100 метра соответственно от отметки средне-многолетнего уровня Каспийского моря за последнее десятилетиеравной минус 27,0 метра на основании утвержденной проектной документации;</w:t>
      </w:r>
    </w:p>
    <w:bookmarkEnd w:id="31"/>
    <w:bookmarkStart w:name="z30" w:id="32"/>
    <w:p>
      <w:pPr>
        <w:spacing w:after="0"/>
        <w:ind w:left="0"/>
        <w:jc w:val="both"/>
      </w:pPr>
      <w:r>
        <w:rPr>
          <w:rFonts w:ascii="Times New Roman"/>
          <w:b w:val="false"/>
          <w:i w:val="false"/>
          <w:color w:val="000000"/>
          <w:sz w:val="28"/>
        </w:rPr>
        <w:t>
        2) организация водоохранных зон не исключает создания зон санитарной охраны водных источников, используемых для водоснабжения курортных, оздоровительных и иных нужд населения, границы и размеры, которых устанавливаются в соответствии с действующими нормативными правовыми актами в области санитарно-эпидемиологического благополучия населения;</w:t>
      </w:r>
    </w:p>
    <w:bookmarkEnd w:id="32"/>
    <w:p>
      <w:pPr>
        <w:spacing w:after="0"/>
        <w:ind w:left="0"/>
        <w:jc w:val="both"/>
      </w:pPr>
      <w:r>
        <w:rPr>
          <w:rFonts w:ascii="Times New Roman"/>
          <w:b w:val="false"/>
          <w:i w:val="false"/>
          <w:color w:val="000000"/>
          <w:sz w:val="28"/>
        </w:rPr>
        <w:t>
      3) предоставление земельных участков в водоохранных зонах и полосах местными исполнительными органами производится по согласованию уполномоченными органами в области использования и охраны водного фонда, охраны окружающей среды и центральным уполномоченным органом по управлению земельными ресурсами в пределах их компетенции.</w:t>
      </w:r>
    </w:p>
    <w:bookmarkStart w:name="z31" w:id="33"/>
    <w:p>
      <w:pPr>
        <w:spacing w:after="0"/>
        <w:ind w:left="0"/>
        <w:jc w:val="both"/>
      </w:pPr>
      <w:r>
        <w:rPr>
          <w:rFonts w:ascii="Times New Roman"/>
          <w:b w:val="false"/>
          <w:i w:val="false"/>
          <w:color w:val="000000"/>
          <w:sz w:val="28"/>
        </w:rPr>
        <w:t>
      Примечание:</w:t>
      </w:r>
    </w:p>
    <w:bookmarkEnd w:id="33"/>
    <w:bookmarkStart w:name="z32" w:id="34"/>
    <w:p>
      <w:pPr>
        <w:spacing w:after="0"/>
        <w:ind w:left="0"/>
        <w:jc w:val="both"/>
      </w:pPr>
      <w:r>
        <w:rPr>
          <w:rFonts w:ascii="Times New Roman"/>
          <w:b w:val="false"/>
          <w:i w:val="false"/>
          <w:color w:val="000000"/>
          <w:sz w:val="28"/>
        </w:rPr>
        <w:t>
      Расшифровка аббревиатур:</w:t>
      </w:r>
    </w:p>
    <w:bookmarkEnd w:id="34"/>
    <w:bookmarkStart w:name="z33" w:id="35"/>
    <w:p>
      <w:pPr>
        <w:spacing w:after="0"/>
        <w:ind w:left="0"/>
        <w:jc w:val="both"/>
      </w:pPr>
      <w:r>
        <w:rPr>
          <w:rFonts w:ascii="Times New Roman"/>
          <w:b w:val="false"/>
          <w:i w:val="false"/>
          <w:color w:val="000000"/>
          <w:sz w:val="28"/>
        </w:rPr>
        <w:t>
      км – километр</w:t>
      </w:r>
    </w:p>
    <w:bookmarkEnd w:id="35"/>
    <w:bookmarkStart w:name="z34" w:id="36"/>
    <w:p>
      <w:pPr>
        <w:spacing w:after="0"/>
        <w:ind w:left="0"/>
        <w:jc w:val="both"/>
      </w:pPr>
      <w:r>
        <w:rPr>
          <w:rFonts w:ascii="Times New Roman"/>
          <w:b w:val="false"/>
          <w:i w:val="false"/>
          <w:color w:val="000000"/>
          <w:sz w:val="28"/>
        </w:rPr>
        <w:t>
      см – сантиметр</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2</w:t>
            </w:r>
            <w:r>
              <w:br/>
            </w:r>
            <w:r>
              <w:rPr>
                <w:rFonts w:ascii="Times New Roman"/>
                <w:b w:val="false"/>
                <w:i w:val="false"/>
                <w:color w:val="000000"/>
                <w:sz w:val="20"/>
              </w:rPr>
              <w:t>к постановлению акимата</w:t>
            </w:r>
            <w:r>
              <w:br/>
            </w:r>
            <w:r>
              <w:rPr>
                <w:rFonts w:ascii="Times New Roman"/>
                <w:b w:val="false"/>
                <w:i w:val="false"/>
                <w:color w:val="000000"/>
                <w:sz w:val="20"/>
              </w:rPr>
              <w:t>Мангистауской области</w:t>
            </w:r>
            <w:r>
              <w:br/>
            </w:r>
            <w:r>
              <w:rPr>
                <w:rFonts w:ascii="Times New Roman"/>
                <w:b w:val="false"/>
                <w:i w:val="false"/>
                <w:color w:val="000000"/>
                <w:sz w:val="20"/>
              </w:rPr>
              <w:t>от 20 марта 2008 г. N 181</w:t>
            </w:r>
          </w:p>
        </w:tc>
      </w:tr>
    </w:tbl>
    <w:bookmarkStart w:name="z17" w:id="37"/>
    <w:p>
      <w:pPr>
        <w:spacing w:after="0"/>
        <w:ind w:left="0"/>
        <w:jc w:val="left"/>
      </w:pPr>
      <w:r>
        <w:rPr>
          <w:rFonts w:ascii="Times New Roman"/>
          <w:b/>
          <w:i w:val="false"/>
          <w:color w:val="000000"/>
        </w:rPr>
        <w:t xml:space="preserve"> Перечень</w:t>
      </w:r>
      <w:r>
        <w:br/>
      </w:r>
      <w:r>
        <w:rPr>
          <w:rFonts w:ascii="Times New Roman"/>
          <w:b/>
          <w:i w:val="false"/>
          <w:color w:val="000000"/>
        </w:rPr>
        <w:t>условий, запрещающих осуществление хозяйственной деятельности в пределах водоохранных зон и полос</w:t>
      </w:r>
    </w:p>
    <w:bookmarkEnd w:id="37"/>
    <w:bookmarkStart w:name="z18" w:id="38"/>
    <w:p>
      <w:pPr>
        <w:spacing w:after="0"/>
        <w:ind w:left="0"/>
        <w:jc w:val="both"/>
      </w:pPr>
      <w:r>
        <w:rPr>
          <w:rFonts w:ascii="Times New Roman"/>
          <w:b w:val="false"/>
          <w:i w:val="false"/>
          <w:color w:val="000000"/>
          <w:sz w:val="28"/>
        </w:rPr>
        <w:t>
      1. В пределах водоохранных зон запрещается:</w:t>
      </w:r>
    </w:p>
    <w:bookmarkEnd w:id="38"/>
    <w:bookmarkStart w:name="z19" w:id="39"/>
    <w:p>
      <w:pPr>
        <w:spacing w:after="0"/>
        <w:ind w:left="0"/>
        <w:jc w:val="both"/>
      </w:pPr>
      <w:r>
        <w:rPr>
          <w:rFonts w:ascii="Times New Roman"/>
          <w:b w:val="false"/>
          <w:i w:val="false"/>
          <w:color w:val="000000"/>
          <w:sz w:val="28"/>
        </w:rPr>
        <w:t>
      1) проведение авиационно-химических работ;</w:t>
      </w:r>
    </w:p>
    <w:bookmarkEnd w:id="39"/>
    <w:bookmarkStart w:name="z20" w:id="40"/>
    <w:p>
      <w:pPr>
        <w:spacing w:after="0"/>
        <w:ind w:left="0"/>
        <w:jc w:val="both"/>
      </w:pPr>
      <w:r>
        <w:rPr>
          <w:rFonts w:ascii="Times New Roman"/>
          <w:b w:val="false"/>
          <w:i w:val="false"/>
          <w:color w:val="000000"/>
          <w:sz w:val="28"/>
        </w:rPr>
        <w:t>
      2) применение химических средств борьбы с вредителями,болезнями растений и сорняками;</w:t>
      </w:r>
    </w:p>
    <w:bookmarkEnd w:id="40"/>
    <w:bookmarkStart w:name="z21" w:id="41"/>
    <w:p>
      <w:pPr>
        <w:spacing w:after="0"/>
        <w:ind w:left="0"/>
        <w:jc w:val="both"/>
      </w:pPr>
      <w:r>
        <w:rPr>
          <w:rFonts w:ascii="Times New Roman"/>
          <w:b w:val="false"/>
          <w:i w:val="false"/>
          <w:color w:val="000000"/>
          <w:sz w:val="28"/>
        </w:rPr>
        <w:t>
      3) использование навозных стоков для удобрения почв;</w:t>
      </w:r>
    </w:p>
    <w:bookmarkEnd w:id="41"/>
    <w:bookmarkStart w:name="z22" w:id="42"/>
    <w:p>
      <w:pPr>
        <w:spacing w:after="0"/>
        <w:ind w:left="0"/>
        <w:jc w:val="both"/>
      </w:pPr>
      <w:r>
        <w:rPr>
          <w:rFonts w:ascii="Times New Roman"/>
          <w:b w:val="false"/>
          <w:i w:val="false"/>
          <w:color w:val="000000"/>
          <w:sz w:val="28"/>
        </w:rPr>
        <w:t>
      4) размещение складов ядохимикатов, минеральных удобрений и горюче-смазочных материалов, площадок для заправки аппаратуры ядохимикатами, животноводческих комплексов и ферм, мест складирования и захоронения промышленных, бытовых и сельскохозяйственных отходов, кладбищ и скотомогильников, накопителей сточных вод, а также размещение других объектов, отрицательно влияющих на качество воды;</w:t>
      </w:r>
    </w:p>
    <w:bookmarkEnd w:id="42"/>
    <w:bookmarkStart w:name="z23" w:id="43"/>
    <w:p>
      <w:pPr>
        <w:spacing w:after="0"/>
        <w:ind w:left="0"/>
        <w:jc w:val="both"/>
      </w:pPr>
      <w:r>
        <w:rPr>
          <w:rFonts w:ascii="Times New Roman"/>
          <w:b w:val="false"/>
          <w:i w:val="false"/>
          <w:color w:val="000000"/>
          <w:sz w:val="28"/>
        </w:rPr>
        <w:t>
      5) складирование навоза и мусора;</w:t>
      </w:r>
    </w:p>
    <w:bookmarkEnd w:id="43"/>
    <w:bookmarkStart w:name="z24" w:id="44"/>
    <w:p>
      <w:pPr>
        <w:spacing w:after="0"/>
        <w:ind w:left="0"/>
        <w:jc w:val="both"/>
      </w:pPr>
      <w:r>
        <w:rPr>
          <w:rFonts w:ascii="Times New Roman"/>
          <w:b w:val="false"/>
          <w:i w:val="false"/>
          <w:color w:val="000000"/>
          <w:sz w:val="28"/>
        </w:rPr>
        <w:t>
      6) заправка топливом, мойка и ремонт автомобилей, тракторов и других машин и механизмов а также размещение стоянок транспортных средств на необорудованных площадках, обеспеченными специальными оборудованиями по предотвращению загрязнения водных объектов;</w:t>
      </w:r>
    </w:p>
    <w:bookmarkEnd w:id="44"/>
    <w:bookmarkStart w:name="z25" w:id="45"/>
    <w:p>
      <w:pPr>
        <w:spacing w:after="0"/>
        <w:ind w:left="0"/>
        <w:jc w:val="both"/>
      </w:pPr>
      <w:r>
        <w:rPr>
          <w:rFonts w:ascii="Times New Roman"/>
          <w:b w:val="false"/>
          <w:i w:val="false"/>
          <w:color w:val="000000"/>
          <w:sz w:val="28"/>
        </w:rPr>
        <w:t>
      7) размещение новых дачных и садово-огородных участков при ширине водоохранных зон менее 100 м и крутизне склонов прилагающих территорий более 3 градусов;</w:t>
      </w:r>
    </w:p>
    <w:bookmarkEnd w:id="45"/>
    <w:bookmarkStart w:name="z26" w:id="46"/>
    <w:p>
      <w:pPr>
        <w:spacing w:after="0"/>
        <w:ind w:left="0"/>
        <w:jc w:val="both"/>
      </w:pPr>
      <w:r>
        <w:rPr>
          <w:rFonts w:ascii="Times New Roman"/>
          <w:b w:val="false"/>
          <w:i w:val="false"/>
          <w:color w:val="000000"/>
          <w:sz w:val="28"/>
        </w:rPr>
        <w:t>
      8) ввод в эксплуатацию новых и реконструируемых объектов, необеспеченных сооружениями и устройствами, предотвращающими загрязнение и засорение водного объекта, водоохранных зон и полос;</w:t>
      </w:r>
    </w:p>
    <w:bookmarkEnd w:id="46"/>
    <w:bookmarkStart w:name="z27" w:id="47"/>
    <w:p>
      <w:pPr>
        <w:spacing w:after="0"/>
        <w:ind w:left="0"/>
        <w:jc w:val="both"/>
      </w:pPr>
      <w:r>
        <w:rPr>
          <w:rFonts w:ascii="Times New Roman"/>
          <w:b w:val="false"/>
          <w:i w:val="false"/>
          <w:color w:val="000000"/>
          <w:sz w:val="28"/>
        </w:rPr>
        <w:t>
      9) проведение, реконструкция зданий, сооружений, коммуникаций и других объектов, а также работ по добыче полезных ископаемых землеройных и других работ без согласования с местными исполнительными органами и уполномоченными органами в области использования и охраны водного фонда, охраны окружающей среды, управления земельными ресурсами, энергоснабжения и санитарно-эпидемиологического благополучия населения;</w:t>
      </w:r>
    </w:p>
    <w:bookmarkEnd w:id="47"/>
    <w:bookmarkStart w:name="z28" w:id="48"/>
    <w:p>
      <w:pPr>
        <w:spacing w:after="0"/>
        <w:ind w:left="0"/>
        <w:jc w:val="both"/>
      </w:pPr>
      <w:r>
        <w:rPr>
          <w:rFonts w:ascii="Times New Roman"/>
          <w:b w:val="false"/>
          <w:i w:val="false"/>
          <w:color w:val="000000"/>
          <w:sz w:val="28"/>
        </w:rPr>
        <w:t>
      10)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сельскохозяйственных и иных работ без проектов, согласованных в установленном порядке со специальными уполномоченными государственными органами;</w:t>
      </w:r>
    </w:p>
    <w:bookmarkEnd w:id="48"/>
    <w:bookmarkStart w:name="z29" w:id="49"/>
    <w:p>
      <w:pPr>
        <w:spacing w:after="0"/>
        <w:ind w:left="0"/>
        <w:jc w:val="both"/>
      </w:pPr>
      <w:r>
        <w:rPr>
          <w:rFonts w:ascii="Times New Roman"/>
          <w:b w:val="false"/>
          <w:i w:val="false"/>
          <w:color w:val="000000"/>
          <w:sz w:val="28"/>
        </w:rPr>
        <w:t>
      11) ненормированный выпас скота, его купка и санитарная обработка, другие виды хозяйственной деятельности, ухудшающие режим водоемов;</w:t>
      </w:r>
    </w:p>
    <w:bookmarkEnd w:id="49"/>
    <w:bookmarkStart w:name="z30" w:id="50"/>
    <w:p>
      <w:pPr>
        <w:spacing w:after="0"/>
        <w:ind w:left="0"/>
        <w:jc w:val="both"/>
      </w:pPr>
      <w:r>
        <w:rPr>
          <w:rFonts w:ascii="Times New Roman"/>
          <w:b w:val="false"/>
          <w:i w:val="false"/>
          <w:color w:val="000000"/>
          <w:sz w:val="28"/>
        </w:rPr>
        <w:t>
      12) применение пестицидов, на которые не установлены ПДК, внесение удобрений по снежному покрову, использование в качестве удобрений, не обезвреженных навозосодержащих сточных вод и стойких хлорорганических ядохимикатов.</w:t>
      </w:r>
    </w:p>
    <w:bookmarkEnd w:id="50"/>
    <w:bookmarkStart w:name="z31" w:id="51"/>
    <w:p>
      <w:pPr>
        <w:spacing w:after="0"/>
        <w:ind w:left="0"/>
        <w:jc w:val="both"/>
      </w:pPr>
      <w:r>
        <w:rPr>
          <w:rFonts w:ascii="Times New Roman"/>
          <w:b w:val="false"/>
          <w:i w:val="false"/>
          <w:color w:val="000000"/>
          <w:sz w:val="28"/>
        </w:rPr>
        <w:t>
      13) нераспространяется ограничение на строительство зданий и сооружений в водоохраной зоне на производственные объекты береговой инфраструктуры, необходимые для поддержки морских нефтяных операций, с условием принятия дополнительных мероприятий по недопущению загрязнения и засорения водного объекта.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дополнением, внесенным постановлением акимата Мангистауской области от 23.12.2008 </w:t>
      </w:r>
      <w:r>
        <w:rPr>
          <w:rFonts w:ascii="Times New Roman"/>
          <w:b w:val="false"/>
          <w:i w:val="false"/>
          <w:color w:val="000000"/>
          <w:sz w:val="28"/>
        </w:rPr>
        <w:t>N 2631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52"/>
    <w:p>
      <w:pPr>
        <w:spacing w:after="0"/>
        <w:ind w:left="0"/>
        <w:jc w:val="both"/>
      </w:pPr>
      <w:r>
        <w:rPr>
          <w:rFonts w:ascii="Times New Roman"/>
          <w:b w:val="false"/>
          <w:i w:val="false"/>
          <w:color w:val="000000"/>
          <w:sz w:val="28"/>
        </w:rPr>
        <w:t>
      2. В пределах водоохранных полос дополнительно к вышеуказанным ограничениям запрещается:</w:t>
      </w:r>
    </w:p>
    <w:bookmarkEnd w:id="52"/>
    <w:bookmarkStart w:name="z33" w:id="53"/>
    <w:p>
      <w:pPr>
        <w:spacing w:after="0"/>
        <w:ind w:left="0"/>
        <w:jc w:val="both"/>
      </w:pPr>
      <w:r>
        <w:rPr>
          <w:rFonts w:ascii="Times New Roman"/>
          <w:b w:val="false"/>
          <w:i w:val="false"/>
          <w:color w:val="000000"/>
          <w:sz w:val="28"/>
        </w:rPr>
        <w:t>
      1) выделение участков под жилищное, дачное и другое строительство;</w:t>
      </w:r>
    </w:p>
    <w:bookmarkEnd w:id="53"/>
    <w:bookmarkStart w:name="z34" w:id="54"/>
    <w:p>
      <w:pPr>
        <w:spacing w:after="0"/>
        <w:ind w:left="0"/>
        <w:jc w:val="both"/>
      </w:pPr>
      <w:r>
        <w:rPr>
          <w:rFonts w:ascii="Times New Roman"/>
          <w:b w:val="false"/>
          <w:i w:val="false"/>
          <w:color w:val="000000"/>
          <w:sz w:val="28"/>
        </w:rPr>
        <w:t>
      2) прокладка проездов и дорог;</w:t>
      </w:r>
    </w:p>
    <w:bookmarkEnd w:id="54"/>
    <w:bookmarkStart w:name="z35" w:id="55"/>
    <w:p>
      <w:pPr>
        <w:spacing w:after="0"/>
        <w:ind w:left="0"/>
        <w:jc w:val="both"/>
      </w:pPr>
      <w:r>
        <w:rPr>
          <w:rFonts w:ascii="Times New Roman"/>
          <w:b w:val="false"/>
          <w:i w:val="false"/>
          <w:color w:val="000000"/>
          <w:sz w:val="28"/>
        </w:rPr>
        <w:t>
      3) складирование отвалов размываемых грунтов;</w:t>
      </w:r>
    </w:p>
    <w:bookmarkEnd w:id="55"/>
    <w:bookmarkStart w:name="z36" w:id="56"/>
    <w:p>
      <w:pPr>
        <w:spacing w:after="0"/>
        <w:ind w:left="0"/>
        <w:jc w:val="both"/>
      </w:pPr>
      <w:r>
        <w:rPr>
          <w:rFonts w:ascii="Times New Roman"/>
          <w:b w:val="false"/>
          <w:i w:val="false"/>
          <w:color w:val="000000"/>
          <w:sz w:val="28"/>
        </w:rPr>
        <w:t>
      4) применение органических и минеральных удобрений, ядохимикатов и пестицидов;</w:t>
      </w:r>
    </w:p>
    <w:bookmarkEnd w:id="56"/>
    <w:bookmarkStart w:name="z37" w:id="57"/>
    <w:p>
      <w:pPr>
        <w:spacing w:after="0"/>
        <w:ind w:left="0"/>
        <w:jc w:val="both"/>
      </w:pPr>
      <w:r>
        <w:rPr>
          <w:rFonts w:ascii="Times New Roman"/>
          <w:b w:val="false"/>
          <w:i w:val="false"/>
          <w:color w:val="000000"/>
          <w:sz w:val="28"/>
        </w:rPr>
        <w:t>
      5) выпас и организация летних лагерей скота (кроме использования традиционных мест водопоя), устройство купочных ванн;</w:t>
      </w:r>
    </w:p>
    <w:bookmarkEnd w:id="57"/>
    <w:bookmarkStart w:name="z38" w:id="58"/>
    <w:p>
      <w:pPr>
        <w:spacing w:after="0"/>
        <w:ind w:left="0"/>
        <w:jc w:val="both"/>
      </w:pPr>
      <w:r>
        <w:rPr>
          <w:rFonts w:ascii="Times New Roman"/>
          <w:b w:val="false"/>
          <w:i w:val="false"/>
          <w:color w:val="000000"/>
          <w:sz w:val="28"/>
        </w:rPr>
        <w:t>
      6) установка и устройство сезонных и стационарных палаточных городков;</w:t>
      </w:r>
    </w:p>
    <w:bookmarkEnd w:id="58"/>
    <w:bookmarkStart w:name="z39" w:id="59"/>
    <w:p>
      <w:pPr>
        <w:spacing w:after="0"/>
        <w:ind w:left="0"/>
        <w:jc w:val="both"/>
      </w:pPr>
      <w:r>
        <w:rPr>
          <w:rFonts w:ascii="Times New Roman"/>
          <w:b w:val="false"/>
          <w:i w:val="false"/>
          <w:color w:val="000000"/>
          <w:sz w:val="28"/>
        </w:rPr>
        <w:t>
      7) распашка земель;</w:t>
      </w:r>
    </w:p>
    <w:bookmarkEnd w:id="59"/>
    <w:bookmarkStart w:name="z40" w:id="60"/>
    <w:p>
      <w:pPr>
        <w:spacing w:after="0"/>
        <w:ind w:left="0"/>
        <w:jc w:val="both"/>
      </w:pPr>
      <w:r>
        <w:rPr>
          <w:rFonts w:ascii="Times New Roman"/>
          <w:b w:val="false"/>
          <w:i w:val="false"/>
          <w:color w:val="000000"/>
          <w:sz w:val="28"/>
        </w:rPr>
        <w:t xml:space="preserve">
      8) строительство зданий и сооружений, кроме водозаборных, водорегулирующих, защитных и других сооружений специального назначения. </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