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562f" w14:textId="2255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08 апреля 2008 года N 36/6. Зарегистрировано Управлением юстиции города Балхаша Карагандинской области 25 апреля 2008 года N 8-4-107. Утратило силу - решением Приозерского городского маслихата Карагандинской области от 13 сентября 2010 года N 201/29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Приозерского городского маслихата Карагандинской области от 13.09.2010 N 201/29.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Постановлением Правительства Республики Казахстан "О некоторых вопросах компенсации повышения тарифов абонентской платы за телефон" от 09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949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03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231/38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8-4-70, опубликовано в газете "Приозерский Вестник" 04 мая 2007 года N 11 (86)), в которое внесены изменения и дополнения решением городского Маслихата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273/42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8-4-87, опубликовано в газете "Приозерский Вестник" 31 августа 2007 года N 22 (97))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"устанавливается к совокупному доходу семьи в размере 20 процентов" заменить словами "устанавливается к совокупному доходу семьи в размере 11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Айтбенбетов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_____________Казиева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_____________Нурмаганбетова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__________Кушкаралиев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