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d6951" w14:textId="3ed69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размеров ставок ежемесячной платы за размещение наружной (визуальной) рекламы в населенных пунктах Актюбинской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Актюбинской области от 18 июня 2008 года N 89. Зарегистрировано Департаментом юстиции Актюбинской области 21 июля 2008 года N 3263. Утратило силу решением маслихата Актюбинской области от 6 февраля 2009 года N 159</w:t>
      </w:r>
    </w:p>
    <w:p>
      <w:pPr>
        <w:spacing w:after="0"/>
        <w:ind w:left="0"/>
        <w:jc w:val="both"/>
      </w:pPr>
      <w:bookmarkStart w:name="z1" w:id="0"/>
      <w:r>
        <w:rPr>
          <w:rFonts w:ascii="Times New Roman"/>
          <w:b w:val="false"/>
          <w:i w:val="false"/>
          <w:color w:val="ff0000"/>
          <w:sz w:val="28"/>
        </w:rPr>
        <w:t>
       Сноска. Утратило силу решением маслихата Актюбинской области от 06.02.2009 N 159.</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от 23 января 2001 года N 148 "О местном государственном управлении в Республике Казахстан", </w:t>
      </w:r>
      <w:r>
        <w:rPr>
          <w:rFonts w:ascii="Times New Roman"/>
          <w:b w:val="false"/>
          <w:i w:val="false"/>
          <w:color w:val="000000"/>
          <w:sz w:val="28"/>
        </w:rPr>
        <w:t xml:space="preserve">подпунктом 2) </w:t>
      </w:r>
      <w:r>
        <w:rPr>
          <w:rFonts w:ascii="Times New Roman"/>
          <w:b w:val="false"/>
          <w:i w:val="false"/>
          <w:color w:val="000000"/>
          <w:sz w:val="28"/>
        </w:rPr>
        <w:t xml:space="preserve">статьи 491 Кодекса Республики Казахстан от 12 июня 2001 года N 209 "О налогах и других обязательных платежах в бюджет" (Налоговый кодекс), областной маслихат </w:t>
      </w:r>
      <w:r>
        <w:rPr>
          <w:rFonts w:ascii="Times New Roman"/>
          <w:b/>
          <w:i w:val="false"/>
          <w:color w:val="000000"/>
          <w:sz w:val="28"/>
        </w:rPr>
        <w:t>РЕШАЕТ:</w:t>
      </w:r>
    </w:p>
    <w:bookmarkStart w:name="z2" w:id="1"/>
    <w:p>
      <w:pPr>
        <w:spacing w:after="0"/>
        <w:ind w:left="0"/>
        <w:jc w:val="both"/>
      </w:pPr>
      <w:r>
        <w:rPr>
          <w:rFonts w:ascii="Times New Roman"/>
          <w:b w:val="false"/>
          <w:i w:val="false"/>
          <w:color w:val="000000"/>
          <w:sz w:val="28"/>
        </w:rPr>
        <w:t xml:space="preserve">
      1. Установить размеры ставок ежемесячной платы за размещение наружной (визуальной) рекламы в населенных пунктах Актюбинской области, согласно </w:t>
      </w:r>
      <w:r>
        <w:rPr>
          <w:rFonts w:ascii="Times New Roman"/>
          <w:b w:val="false"/>
          <w:i w:val="false"/>
          <w:color w:val="000000"/>
          <w:sz w:val="28"/>
        </w:rPr>
        <w:t>приложения</w:t>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xml:space="preserve">
      2. Настоящее решение вводится в действие по истечении десяти календарных дней со дня первого официального опубликования. </w:t>
      </w:r>
    </w:p>
    <w:bookmarkEnd w:id="2"/>
    <w:p>
      <w:pPr>
        <w:spacing w:after="0"/>
        <w:ind w:left="0"/>
        <w:jc w:val="both"/>
      </w:pPr>
      <w:r>
        <w:rPr>
          <w:rFonts w:ascii="Times New Roman"/>
          <w:b w:val="false"/>
          <w:i/>
          <w:color w:val="000000"/>
          <w:sz w:val="28"/>
        </w:rPr>
        <w:t xml:space="preserve">      Председатель сессии             Секретарь </w:t>
      </w:r>
      <w:r>
        <w:br/>
      </w:r>
      <w:r>
        <w:rPr>
          <w:rFonts w:ascii="Times New Roman"/>
          <w:b w:val="false"/>
          <w:i w:val="false"/>
          <w:color w:val="000000"/>
          <w:sz w:val="28"/>
        </w:rPr>
        <w:t>
</w:t>
      </w:r>
      <w:r>
        <w:rPr>
          <w:rFonts w:ascii="Times New Roman"/>
          <w:b w:val="false"/>
          <w:i/>
          <w:color w:val="000000"/>
          <w:sz w:val="28"/>
        </w:rPr>
        <w:t xml:space="preserve">      областного маслихата      областного маслихата </w:t>
      </w:r>
    </w:p>
    <w:p>
      <w:pPr>
        <w:spacing w:after="0"/>
        <w:ind w:left="0"/>
        <w:jc w:val="both"/>
      </w:pPr>
      <w:r>
        <w:rPr>
          <w:rFonts w:ascii="Times New Roman"/>
          <w:b w:val="false"/>
          <w:i/>
          <w:color w:val="000000"/>
          <w:sz w:val="28"/>
        </w:rPr>
        <w:t xml:space="preserve">         Г. НУРЫШЕВ                А. ЕСЕРКЕПОВ </w:t>
      </w:r>
    </w:p>
    <w:bookmarkStart w:name="z4" w:id="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решению областного </w:t>
      </w:r>
      <w:r>
        <w:br/>
      </w:r>
      <w:r>
        <w:rPr>
          <w:rFonts w:ascii="Times New Roman"/>
          <w:b w:val="false"/>
          <w:i w:val="false"/>
          <w:color w:val="000000"/>
          <w:sz w:val="28"/>
        </w:rPr>
        <w:t xml:space="preserve">
маслихата от 18 июня </w:t>
      </w:r>
      <w:r>
        <w:br/>
      </w:r>
      <w:r>
        <w:rPr>
          <w:rFonts w:ascii="Times New Roman"/>
          <w:b w:val="false"/>
          <w:i w:val="false"/>
          <w:color w:val="000000"/>
          <w:sz w:val="28"/>
        </w:rPr>
        <w:t xml:space="preserve">
2008 года N 89  </w:t>
      </w:r>
    </w:p>
    <w:bookmarkEnd w:id="3"/>
    <w:p>
      <w:pPr>
        <w:spacing w:after="0"/>
        <w:ind w:left="0"/>
        <w:jc w:val="left"/>
      </w:pPr>
      <w:r>
        <w:rPr>
          <w:rFonts w:ascii="Times New Roman"/>
          <w:b/>
          <w:i w:val="false"/>
          <w:color w:val="000000"/>
        </w:rPr>
        <w:t xml:space="preserve"> Размеры ставок </w:t>
      </w:r>
      <w:r>
        <w:br/>
      </w:r>
      <w:r>
        <w:rPr>
          <w:rFonts w:ascii="Times New Roman"/>
          <w:b/>
          <w:i w:val="false"/>
          <w:color w:val="000000"/>
        </w:rPr>
        <w:t xml:space="preserve">
ежемесячной платы за размещение наружной (визуальной) рекламы </w:t>
      </w:r>
      <w:r>
        <w:br/>
      </w:r>
      <w:r>
        <w:rPr>
          <w:rFonts w:ascii="Times New Roman"/>
          <w:b/>
          <w:i w:val="false"/>
          <w:color w:val="000000"/>
        </w:rPr>
        <w:t xml:space="preserve">
в населенных пунктах Актюбинской области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4153"/>
        <w:gridCol w:w="4093"/>
      </w:tblGrid>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Размеры , площадь </w:t>
            </w:r>
            <w:r>
              <w:br/>
            </w:r>
            <w:r>
              <w:rPr>
                <w:rFonts w:ascii="Times New Roman"/>
                <w:b/>
                <w:i w:val="false"/>
                <w:color w:val="000000"/>
                <w:sz w:val="20"/>
              </w:rPr>
              <w:t xml:space="preserve">
рекламного поля, </w:t>
            </w:r>
            <w:r>
              <w:br/>
            </w:r>
            <w:r>
              <w:rPr>
                <w:rFonts w:ascii="Times New Roman"/>
                <w:b/>
                <w:i w:val="false"/>
                <w:color w:val="000000"/>
                <w:sz w:val="20"/>
              </w:rPr>
              <w:t>
кв.м.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Категория » А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Категория » Б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рекламного объекта до 3-х кв.м.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месячных расчетных показателей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месячных расчетных показателей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рекламного объекта свыше 3-х кв.м.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равна размеру площади объекта, умноженная на месячный расчетный показатель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равна 2/3 размера площади объекта, умноженная на месячный расчетный показатель </w:t>
            </w:r>
          </w:p>
        </w:tc>
      </w:tr>
      <w:tr>
        <w:trPr>
          <w:trHeight w:val="30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Реклама на внешней    стороне транспортного средства: </w:t>
            </w:r>
          </w:p>
          <w:p>
            <w:pPr>
              <w:spacing w:after="20"/>
              <w:ind w:left="20"/>
              <w:jc w:val="both"/>
            </w:pPr>
            <w:r>
              <w:rPr>
                <w:rFonts w:ascii="Times New Roman"/>
                <w:b w:val="false"/>
                <w:i w:val="false"/>
                <w:color w:val="000000"/>
                <w:sz w:val="20"/>
              </w:rPr>
              <w:t xml:space="preserve">1) автобусы, троллейбусы, грузовые и т.д. (грузоподъемностью более 1,5 тонны) </w:t>
            </w:r>
          </w:p>
          <w:p>
            <w:pPr>
              <w:spacing w:after="20"/>
              <w:ind w:left="20"/>
              <w:jc w:val="both"/>
            </w:pPr>
            <w:r>
              <w:rPr>
                <w:rFonts w:ascii="Times New Roman"/>
                <w:b w:val="false"/>
                <w:i w:val="false"/>
                <w:color w:val="000000"/>
                <w:sz w:val="20"/>
              </w:rPr>
              <w:t xml:space="preserve">2) микроавтобусы, такси, легковые автомобили (грузоподъемностью до 1,5 тонны)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 месячных расчетных показателей </w:t>
            </w:r>
          </w:p>
          <w:p>
            <w:pPr>
              <w:spacing w:after="20"/>
              <w:ind w:left="20"/>
              <w:jc w:val="both"/>
            </w:pPr>
            <w:r>
              <w:br/>
            </w:r>
            <w:r>
              <w:br/>
            </w:r>
            <w:r>
              <w:rPr>
                <w:rFonts w:ascii="Times New Roman"/>
                <w:b w:val="false"/>
                <w:i w:val="false"/>
                <w:color w:val="000000"/>
                <w:sz w:val="20"/>
              </w:rPr>
              <w:t xml:space="preserve">
5 месячных расчетных показателей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 месячных расчетных показателей </w:t>
            </w:r>
          </w:p>
          <w:p>
            <w:pPr>
              <w:spacing w:after="20"/>
              <w:ind w:left="20"/>
              <w:jc w:val="both"/>
            </w:pPr>
            <w:r>
              <w:br/>
            </w:r>
            <w:r>
              <w:br/>
            </w:r>
            <w:r>
              <w:rPr>
                <w:rFonts w:ascii="Times New Roman"/>
                <w:b w:val="false"/>
                <w:i w:val="false"/>
                <w:color w:val="000000"/>
                <w:sz w:val="20"/>
              </w:rPr>
              <w:t xml:space="preserve">
5 месячных расчетных показателей </w:t>
            </w:r>
          </w:p>
        </w:tc>
      </w:tr>
    </w:tbl>
    <w:p>
      <w:pPr>
        <w:spacing w:after="0"/>
        <w:ind w:left="0"/>
        <w:jc w:val="both"/>
      </w:pPr>
      <w:r>
        <w:rPr>
          <w:rFonts w:ascii="Times New Roman"/>
          <w:b w:val="false"/>
          <w:i w:val="false"/>
          <w:color w:val="000000"/>
          <w:sz w:val="28"/>
        </w:rPr>
        <w:t xml:space="preserve">      Примечание: Ставки платы за одну сторону рекламного объекта исчисляются из размера действующего месячного расчетного показателя. </w:t>
      </w:r>
    </w:p>
    <w:p>
      <w:pPr>
        <w:spacing w:after="0"/>
        <w:ind w:left="0"/>
        <w:jc w:val="both"/>
      </w:pPr>
      <w:r>
        <w:rPr>
          <w:rFonts w:ascii="Times New Roman"/>
          <w:b w:val="false"/>
          <w:i w:val="false"/>
          <w:color w:val="000000"/>
          <w:sz w:val="28"/>
        </w:rPr>
        <w:t xml:space="preserve">      Ставки ежемесячной платы за размещение наружной (визуальной) рекламы на транспортных средствах по категориям не делятся. </w:t>
      </w:r>
    </w:p>
    <w:p>
      <w:pPr>
        <w:spacing w:after="0"/>
        <w:ind w:left="0"/>
        <w:jc w:val="both"/>
      </w:pPr>
      <w:r>
        <w:rPr>
          <w:rFonts w:ascii="Times New Roman"/>
          <w:b w:val="false"/>
          <w:i w:val="false"/>
          <w:color w:val="000000"/>
          <w:sz w:val="28"/>
        </w:rPr>
        <w:t xml:space="preserve">      Категория "А": проспект Абилхайыр-хана, проспект А.Молдагуловой, проспект Санкибай батыра, трасса аэропорта, объездная дорога (от проспекта 312 стрелковой дивизии до Илецкого моста), проспект 312 стрелковой дивизии, улица Бр. Жубановых, улица Есет батыра, улица М.Маметовой, улица Уалиханова, улица Пацаева, улица 101 стрелковой бригады. </w:t>
      </w:r>
    </w:p>
    <w:p>
      <w:pPr>
        <w:spacing w:after="0"/>
        <w:ind w:left="0"/>
        <w:jc w:val="both"/>
      </w:pPr>
      <w:r>
        <w:rPr>
          <w:rFonts w:ascii="Times New Roman"/>
          <w:b w:val="false"/>
          <w:i w:val="false"/>
          <w:color w:val="000000"/>
          <w:sz w:val="28"/>
        </w:rPr>
        <w:t xml:space="preserve">      Категория "Б": прочие проспекты и улицы города Актобе, не вошедшие в категорию "А", а, также города Алга, Хромтау, Кандыагаш, Шалкар, Темир, Эмба и районные центры.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