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3d07" w14:textId="9863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содействии в трудоустройстве граждан, входящих в целевые группы населения по городу Степногорску, поселкам и селу Карабулак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30 декабря 2008 года № а-10/538. Зарегистрировано Управлением юстиции города Степногорска Акмолинской области 4 февраля 2009 года № 1-2-105. Утратило силу постановлением акимата города Степногорска Акмолинской области от 6 ноября 2009 года № А-4/226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акимата города Степногорска Акмолинской области от 06.11.2009 года </w:t>
      </w:r>
      <w:r>
        <w:rPr>
          <w:rFonts w:ascii="Times New Roman"/>
          <w:b w:val="false"/>
          <w:i w:val="false"/>
          <w:color w:val="000000"/>
          <w:sz w:val="28"/>
        </w:rPr>
        <w:t>№ А-4/226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13)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от 23 января 2001 года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  населения», в целях оказания содействия занятости лицам, входящим в состав целевых групп и наиболее нуждающимся в социальной защите,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Определить перечень предприятий, организаций и учреждений, обеспечивающих трудоустройство лиц, входящих в целевые группы населения по городу Степногорску, поселкам и селу Карабулак на 2009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Дополнить перечень лиц, относящихся к целевым группам, следующими категориями лиц: длительно не работающие (более года), женщины старше 50 лет, молодежь в возрасте до 24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Признать утратившим силу постановление акимата города Степногорска от 24 декабря 2007 года № а-18/610 «О содействии в трудоустройстве граждан, входящих в целевые группы населения по городу Степногорску, поселкам и Карабулакскому сельскому округу на 2008 год» (зарегистрировано в Региональном Реестре государственной регистрации нормативных правовых актов № 1-2-82, опубликовано в газетах «Степногорск ақшамы» и «Вечерний Степногорск» 22 февраля 2008 года № 4 (86).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постановление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Контроль за исполнением настоящего постановления возложить  на заместителя акима города Степногорска Садвокасову Г.А.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 г.Степногорска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30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а-10/538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предприятий</w:t>
      </w:r>
      <w:r>
        <w:rPr>
          <w:rFonts w:ascii="Times New Roman"/>
          <w:b/>
          <w:i w:val="false"/>
          <w:color w:val="000080"/>
          <w:sz w:val="28"/>
        </w:rPr>
        <w:t xml:space="preserve"> и</w:t>
      </w:r>
      <w:r>
        <w:rPr>
          <w:rFonts w:ascii="Times New Roman"/>
          <w:b/>
          <w:i w:val="false"/>
          <w:color w:val="000080"/>
          <w:sz w:val="28"/>
        </w:rPr>
        <w:t xml:space="preserve"> учреждений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обеспечивающих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трудоустройство</w:t>
      </w:r>
      <w:r>
        <w:rPr>
          <w:rFonts w:ascii="Times New Roman"/>
          <w:b/>
          <w:i w:val="false"/>
          <w:color w:val="000080"/>
          <w:sz w:val="28"/>
        </w:rPr>
        <w:t xml:space="preserve"> лиц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входящих</w:t>
      </w:r>
      <w:r>
        <w:rPr>
          <w:rFonts w:ascii="Times New Roman"/>
          <w:b/>
          <w:i w:val="false"/>
          <w:color w:val="000080"/>
          <w:sz w:val="28"/>
        </w:rPr>
        <w:t xml:space="preserve"> в</w:t>
      </w:r>
      <w:r>
        <w:rPr>
          <w:rFonts w:ascii="Times New Roman"/>
          <w:b/>
          <w:i w:val="false"/>
          <w:color w:val="000080"/>
          <w:sz w:val="28"/>
        </w:rPr>
        <w:t xml:space="preserve"> целевые</w:t>
      </w:r>
      <w:r>
        <w:rPr>
          <w:rFonts w:ascii="Times New Roman"/>
          <w:b/>
          <w:i w:val="false"/>
          <w:color w:val="000080"/>
          <w:sz w:val="28"/>
        </w:rPr>
        <w:t xml:space="preserve"> группы</w:t>
      </w:r>
      <w:r>
        <w:rPr>
          <w:rFonts w:ascii="Times New Roman"/>
          <w:b/>
          <w:i w:val="false"/>
          <w:color w:val="000080"/>
          <w:sz w:val="28"/>
        </w:rPr>
        <w:t xml:space="preserve">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г.Степногорску, поселкам и селу Карабулак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1473"/>
        <w:gridCol w:w="1113"/>
        <w:gridCol w:w="1053"/>
        <w:gridCol w:w="1333"/>
        <w:gridCol w:w="1273"/>
        <w:gridCol w:w="1573"/>
        <w:gridCol w:w="1013"/>
      </w:tblGrid>
      <w:tr>
        <w:trPr>
          <w:trHeight w:val="28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населения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молодежь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молодежь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попечения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многодетные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родители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несовершеннолетних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детей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уходе</w:t>
            </w:r>
          </w:p>
        </w:tc>
      </w:tr>
      <w:tr>
        <w:trPr>
          <w:trHeight w:val="4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ГМК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«Казахалтын»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«Степногорский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комбинат»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«Степногорский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подшипниковый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завод»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«Целингормаш»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«Прогресс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«МашзаводМунай»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«Кайсар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«Биокорм»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«Агровит»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«Трансконордэнерго»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«Сага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Криг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компани»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«Прогресс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Сельхозхим»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ПХВ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Горкоммунхоз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«Профессиональный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«Профессиональный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«Степногорская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больница»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«Степногорская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психиатрическая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больница»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Кунарлы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«Предприятие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Дом»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«Степногорская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поликлиника»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«Автохозяйство»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гуманитарно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колледж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языков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оборудования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«Тастемир»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«Вита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«Молторг»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«Феникс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ЛТД»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«МСУ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- 81»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противотуберкулезный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диспансер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«Степногорское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«Строймобил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ЧСК»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питание»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промышленной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биотехнологии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Водоканал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-166/18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-166/11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«Шантобе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Степногорска»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Бестобе»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Шантобе»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округа»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ОШИОСД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«Казфосфат»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«Мирас»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Базис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«Гербициды»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«Супермаркет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Сибирь»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253"/>
        <w:gridCol w:w="1073"/>
        <w:gridCol w:w="1153"/>
        <w:gridCol w:w="1113"/>
        <w:gridCol w:w="1213"/>
        <w:gridCol w:w="1253"/>
        <w:gridCol w:w="933"/>
        <w:gridCol w:w="1433"/>
      </w:tblGrid>
      <w:tr>
        <w:trPr>
          <w:trHeight w:val="28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предпенсионного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возраста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возрасте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старше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рядов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Вооруженных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свободы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оралманы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работающие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женщины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ГМК - акционерное общество горно-металлургический концерн;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кооператив собственников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КСП - кооператив собственников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ОШИОСД - областная школа - интернат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- государственное казенное коммунальное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на ПХВ - государственное коммунальное предприятие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ДК - Дом культуры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