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7759" w14:textId="eb57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Кокшетау Акмолинской области от 23 декабря 2008 года N С-18/5. Зарегистрировано управлением юстиции города Кокшетау Акмолинской области 31 декабря 2008 года N 1-1-94. Утратило силу - решением Кокшетауского городского маслихата от 21 апреля 2010 года № С-34/28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решением Кокшетауского городского маслихата от 21.04.2010 № С-34/28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13 декабря 2008 года № 4С-11-5 «Об областном бюджете на 2009 год» (зарегистрировано в Региональном реестре государственной регистрации нормативных правовых актов за номером 3286),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8 840 221,5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4 809 065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140 681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446 895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3 443 580,5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9 294 962,1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-153 905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153 905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135 893,2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  бюджета – -436 728,8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436 728,8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502 195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142 000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- 76 533,8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1 с изменениями, внесенными решениями Кокшетауского городского маслихата Акмолинской области от 03.03.2009 </w:t>
      </w:r>
      <w:r>
        <w:rPr>
          <w:rFonts w:ascii="Times New Roman"/>
          <w:b w:val="false"/>
          <w:i w:val="false"/>
          <w:color w:val="000000"/>
          <w:sz w:val="28"/>
        </w:rPr>
        <w:t>№ С-21/5;</w:t>
      </w:r>
      <w:r>
        <w:rPr>
          <w:rFonts w:ascii="Times New Roman"/>
          <w:b w:val="false"/>
          <w:i/>
          <w:color w:val="800000"/>
          <w:sz w:val="28"/>
        </w:rPr>
        <w:t xml:space="preserve"> 30.03.2009 </w:t>
      </w:r>
      <w:r>
        <w:rPr>
          <w:rFonts w:ascii="Times New Roman"/>
          <w:b w:val="false"/>
          <w:i w:val="false"/>
          <w:color w:val="000000"/>
          <w:sz w:val="28"/>
        </w:rPr>
        <w:t>№ С-22/6;</w:t>
      </w:r>
      <w:r>
        <w:rPr>
          <w:rFonts w:ascii="Times New Roman"/>
          <w:b w:val="false"/>
          <w:i/>
          <w:color w:val="800000"/>
          <w:sz w:val="28"/>
        </w:rPr>
        <w:t xml:space="preserve"> 29.04.2009 </w:t>
      </w:r>
      <w:r>
        <w:rPr>
          <w:rFonts w:ascii="Times New Roman"/>
          <w:b w:val="false"/>
          <w:i w:val="false"/>
          <w:color w:val="000000"/>
          <w:sz w:val="28"/>
        </w:rPr>
        <w:t>№ С-24/5</w:t>
      </w:r>
      <w:r>
        <w:rPr>
          <w:rFonts w:ascii="Times New Roman"/>
          <w:b w:val="false"/>
          <w:i/>
          <w:color w:val="800000"/>
          <w:sz w:val="28"/>
        </w:rPr>
        <w:t xml:space="preserve"> 16.07.2009  </w:t>
      </w:r>
      <w:r>
        <w:rPr>
          <w:rFonts w:ascii="Times New Roman"/>
          <w:b w:val="false"/>
          <w:i w:val="false"/>
          <w:color w:val="000000"/>
          <w:sz w:val="28"/>
        </w:rPr>
        <w:t>№ С-27/5;</w:t>
      </w:r>
      <w:r>
        <w:rPr>
          <w:rFonts w:ascii="Times New Roman"/>
          <w:b w:val="false"/>
          <w:i/>
          <w:color w:val="800000"/>
          <w:sz w:val="28"/>
        </w:rPr>
        <w:t xml:space="preserve"> 26.10.2009 </w:t>
      </w:r>
      <w:r>
        <w:rPr>
          <w:rFonts w:ascii="Times New Roman"/>
          <w:b w:val="false"/>
          <w:i w:val="false"/>
          <w:color w:val="000000"/>
          <w:sz w:val="28"/>
        </w:rPr>
        <w:t>№ С-29/5.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Согласно решению Акмолинского областного маслихата от 13  декабря 2008 года № 4С-11-5 «Об областном бюджете на 2009 год»  (зарегистрировано в Региональном реестре государственной регистрации нормативных правовых актов за номером 3286), установлены нормативы распределения доходов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  у источника выплаты в областной бюджет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в бюджет города Кокшетау –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доходы городского бюджета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налога, за исключением  индивидуального подоходного налога с доходов, облагаемых у источника выплаты, и индивидуального подоходного налога с доходов иностранных граждан, облагаемых у источника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сборов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части чистого дохода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реализации товаров (работ, услуг) государственными учреждениями, финансируемыми из государственного 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денег от проведения государственных закупок, организуемых государственными учреждениями, финансируемыми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штрафов, пени, санкций, взысканий, налагаемых государственными учреждениями, финансируемыми из государственного бюджета, а также содержащимися из бюджета (сметы расходов) Национального Банка Республики Казахстан, за исключением поступлений от организаций нефтяного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неналоговых поступлений.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продажи государственного имущества, закрепленного за государственными учреждениями;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продажи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продажи нематериальных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поступлений трансфертов, в том числе: трансфертов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затратах городского бюджета предусмотрены бюджетные изъятия в областной бюджет в сумме 1 140 071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городском бюджете на 2009 год предусмотрены целевые трансферты за счет средств республиканского бюджета на  образование в сумме 1 128 794,6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142 819,6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19 865,2 тысяч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16 124,4 тысячи тенге -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31 551 тысяч тенге – на внедрение новых технологий обучения в государственной системе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75 279 тысяч тенге – на содержание вновь вводимых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985 975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824 335 тысяч тенге – на строительство интеллектуальной школы Первого Президента Республики Казахстан на 1200 мест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161 640 тысяч тенге – на строительство детского сада на 320 мест в городе Кокшетау.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5 с изменениями, внесенными решением  Кокшетауского городского маслихата Акмолинской области от 29.04.2009 </w:t>
      </w:r>
      <w:r>
        <w:rPr>
          <w:rFonts w:ascii="Times New Roman"/>
          <w:b w:val="false"/>
          <w:i w:val="false"/>
          <w:color w:val="000000"/>
          <w:sz w:val="28"/>
        </w:rPr>
        <w:t>№ С-24/5;</w:t>
      </w:r>
      <w:r>
        <w:rPr>
          <w:rFonts w:ascii="Times New Roman"/>
          <w:b w:val="false"/>
          <w:i/>
          <w:color w:val="800000"/>
          <w:sz w:val="28"/>
        </w:rPr>
        <w:t xml:space="preserve"> 26.10.2009 </w:t>
      </w:r>
      <w:r>
        <w:rPr>
          <w:rFonts w:ascii="Times New Roman"/>
          <w:b w:val="false"/>
          <w:i w:val="false"/>
          <w:color w:val="000000"/>
          <w:sz w:val="28"/>
        </w:rPr>
        <w:t>№ С-29/5.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городском бюджете на 2009 год предусмотрены целевые текущие трансферты за счет средств республиканского бюджета на социальное обеспечение населения в сумме 13 384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6 342 тысяч тенге –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3 835 тысяч тенге – на выплату государственных пособий на детей до 18 лет из малообеспеченных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3 207 тысяч тенге – для реализации мер социальной поддержки специалистов социальной сферы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6 с изменениями, внесенными решением  Кокшетауского городского маслихата Акмолинской области от 29.04.2009 </w:t>
      </w:r>
      <w:r>
        <w:rPr>
          <w:rFonts w:ascii="Times New Roman"/>
          <w:b w:val="false"/>
          <w:i w:val="false"/>
          <w:color w:val="000000"/>
          <w:sz w:val="28"/>
        </w:rPr>
        <w:t>№ С-24/5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городском бюджете на 2009 год предусмотрены целевые текущие трансферты за счет средств областного бюджета на социальное обеспечение населения в сумме 14 415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9 310 тысяча тенге – на оказание социальной помощи участникам и инвалидам Великой Отечественной войны на расходы за коммунальные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5 105 тысяч тенге – на оказание социальной помощи студентам из малообеспеченных семей на оплату за учебу.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7 с изменениями, внесенными решением Кокшетауского городского маслихата Акмолинской области от 16.07.2009 </w:t>
      </w:r>
      <w:r>
        <w:rPr>
          <w:rFonts w:ascii="Times New Roman"/>
          <w:b w:val="false"/>
          <w:i w:val="false"/>
          <w:color w:val="000000"/>
          <w:sz w:val="28"/>
        </w:rPr>
        <w:t>№ С-27/5;</w:t>
      </w:r>
      <w:r>
        <w:rPr>
          <w:rFonts w:ascii="Times New Roman"/>
          <w:b w:val="false"/>
          <w:i/>
          <w:color w:val="800000"/>
          <w:sz w:val="28"/>
        </w:rPr>
        <w:t xml:space="preserve"> 26.10.2009 </w:t>
      </w:r>
      <w:r>
        <w:rPr>
          <w:rFonts w:ascii="Times New Roman"/>
          <w:b w:val="false"/>
          <w:i w:val="false"/>
          <w:color w:val="000000"/>
          <w:sz w:val="28"/>
        </w:rPr>
        <w:t>№ С-29/5.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городском бюджете на 2009 год предусмотрены целевые трансферты на развитие за счет средств республиканского бюджета в сумме 628 433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300 000 тысяч тенге – на реконструкцию системы объектов водоснабжения и водоотведения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228 631 тысяч тенге на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97 000 тысяч тенге – на ремонт и реконструкцию инженерных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2 802 тысяч тенге – на строительство и (или) приобретение жилья государственного коммунального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8 с изменениями, внесенными решениями Кокшетауского городского маслихата Акмолинской области от 03.03.2009 </w:t>
      </w:r>
      <w:r>
        <w:rPr>
          <w:rFonts w:ascii="Times New Roman"/>
          <w:b w:val="false"/>
          <w:i w:val="false"/>
          <w:color w:val="000000"/>
          <w:sz w:val="28"/>
        </w:rPr>
        <w:t>№ С-21/5;</w:t>
      </w:r>
      <w:r>
        <w:rPr>
          <w:rFonts w:ascii="Times New Roman"/>
          <w:b w:val="false"/>
          <w:i/>
          <w:color w:val="800000"/>
          <w:sz w:val="28"/>
        </w:rPr>
        <w:t xml:space="preserve"> 30.03.2009 </w:t>
      </w:r>
      <w:r>
        <w:rPr>
          <w:rFonts w:ascii="Times New Roman"/>
          <w:b w:val="false"/>
          <w:i w:val="false"/>
          <w:color w:val="000000"/>
          <w:sz w:val="28"/>
        </w:rPr>
        <w:t>№ С-22/6;</w:t>
      </w:r>
      <w:r>
        <w:rPr>
          <w:rFonts w:ascii="Times New Roman"/>
          <w:b w:val="false"/>
          <w:i/>
          <w:color w:val="800000"/>
          <w:sz w:val="28"/>
        </w:rPr>
        <w:t xml:space="preserve"> 29.04.2009 </w:t>
      </w:r>
      <w:r>
        <w:rPr>
          <w:rFonts w:ascii="Times New Roman"/>
          <w:b w:val="false"/>
          <w:i w:val="false"/>
          <w:color w:val="000000"/>
          <w:sz w:val="28"/>
        </w:rPr>
        <w:t>№ С-24/5</w:t>
      </w:r>
      <w:r>
        <w:rPr>
          <w:rFonts w:ascii="Times New Roman"/>
          <w:b w:val="false"/>
          <w:i/>
          <w:color w:val="800000"/>
          <w:sz w:val="28"/>
        </w:rPr>
        <w:t xml:space="preserve"> 16.07.2009 </w:t>
      </w:r>
      <w:r>
        <w:rPr>
          <w:rFonts w:ascii="Times New Roman"/>
          <w:b w:val="false"/>
          <w:i w:val="false"/>
          <w:color w:val="000000"/>
          <w:sz w:val="28"/>
        </w:rPr>
        <w:t>№ С-27/5;</w:t>
      </w:r>
      <w:r>
        <w:rPr>
          <w:rFonts w:ascii="Times New Roman"/>
          <w:b w:val="false"/>
          <w:i/>
          <w:color w:val="800000"/>
          <w:sz w:val="28"/>
        </w:rPr>
        <w:t xml:space="preserve"> 26.10.2009 </w:t>
      </w:r>
      <w:r>
        <w:rPr>
          <w:rFonts w:ascii="Times New Roman"/>
          <w:b w:val="false"/>
          <w:i w:val="false"/>
          <w:color w:val="000000"/>
          <w:sz w:val="28"/>
        </w:rPr>
        <w:t>№ С-29/5.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городском бюджете предусмотрены целевые  трансферты на развитие за счет средств областного бюджета в сумме 321 993,2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150 000 тысяч тенге - на завершение строительства Дворца спорта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135 893,2 тысяч тенге – на увеличение уставного капитала государственных коммунальных предприятий города Кокшетау.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7 100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тысяч тенге – на разработку проектно-сметной документации на строительство жилых домов и инженерной инфраструктуры в рамках реализации программы «Нурлы Кош» на 2009-2011 годы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9 000 тысяч тенге – на приобретение жилья для отдельных категорий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20 000 тысяч тенге – на начало строительства инженерной инфраструктуры в рамках реализации программы «Нурлы-Кош» на 2009-2011 годы городу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9 с изменениями, внесенными решениями Кокшетауского городского маслихата Акмолинской области 30.03.2009 </w:t>
      </w:r>
      <w:r>
        <w:rPr>
          <w:rFonts w:ascii="Times New Roman"/>
          <w:b w:val="false"/>
          <w:i w:val="false"/>
          <w:color w:val="000000"/>
          <w:sz w:val="28"/>
        </w:rPr>
        <w:t>№ С-22/6;</w:t>
      </w:r>
      <w:r>
        <w:rPr>
          <w:rFonts w:ascii="Times New Roman"/>
          <w:b w:val="false"/>
          <w:i/>
          <w:color w:val="800000"/>
          <w:sz w:val="28"/>
        </w:rPr>
        <w:t xml:space="preserve"> 16.07.2009 </w:t>
      </w:r>
      <w:r>
        <w:rPr>
          <w:rFonts w:ascii="Times New Roman"/>
          <w:b w:val="false"/>
          <w:i w:val="false"/>
          <w:color w:val="000000"/>
          <w:sz w:val="28"/>
        </w:rPr>
        <w:t>№ С-27/5;</w:t>
      </w:r>
      <w:r>
        <w:rPr>
          <w:rFonts w:ascii="Times New Roman"/>
          <w:b w:val="false"/>
          <w:i/>
          <w:color w:val="800000"/>
          <w:sz w:val="28"/>
        </w:rPr>
        <w:t xml:space="preserve"> 26.10.2009 </w:t>
      </w:r>
      <w:r>
        <w:rPr>
          <w:rFonts w:ascii="Times New Roman"/>
          <w:b w:val="false"/>
          <w:i w:val="false"/>
          <w:color w:val="000000"/>
          <w:sz w:val="28"/>
        </w:rPr>
        <w:t>№ С-29/5.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Учесть, что в городском бюджете предусмотрены целевые текущие трансферты за счет средств областного бюджета в сумме </w:t>
      </w:r>
      <w:r>
        <w:rPr>
          <w:rFonts w:ascii="Times New Roman"/>
          <w:b w:val="false"/>
          <w:i w:val="false"/>
          <w:color w:val="000000"/>
          <w:sz w:val="28"/>
        </w:rPr>
        <w:t>55 919,7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12 455,7 тысяч тенге – на приобретение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10 с изменениями, внесенными решениями Кокшетауского городского маслихата Акмолинской области 30.03.2009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С-22/6; </w:t>
      </w:r>
      <w:r>
        <w:rPr>
          <w:rFonts w:ascii="Times New Roman"/>
          <w:b w:val="false"/>
          <w:i/>
          <w:color w:val="800000"/>
          <w:sz w:val="28"/>
        </w:rPr>
        <w:t xml:space="preserve">29.04.2009 </w:t>
      </w:r>
      <w:r>
        <w:rPr>
          <w:rFonts w:ascii="Times New Roman"/>
          <w:b w:val="false"/>
          <w:i w:val="false"/>
          <w:color w:val="000000"/>
          <w:sz w:val="28"/>
        </w:rPr>
        <w:t>№ С-24/5;</w:t>
      </w:r>
      <w:r>
        <w:rPr>
          <w:rFonts w:ascii="Times New Roman"/>
          <w:b w:val="false"/>
          <w:i/>
          <w:color w:val="800000"/>
          <w:sz w:val="28"/>
        </w:rPr>
        <w:t xml:space="preserve"> 26.10.2009 </w:t>
      </w:r>
      <w:r>
        <w:rPr>
          <w:rFonts w:ascii="Times New Roman"/>
          <w:b w:val="false"/>
          <w:i w:val="false"/>
          <w:color w:val="000000"/>
          <w:sz w:val="28"/>
        </w:rPr>
        <w:t>№ С-29/5.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10-1. </w:t>
      </w:r>
      <w:r>
        <w:rPr>
          <w:rFonts w:ascii="Times New Roman"/>
          <w:b w:val="false"/>
          <w:i w:val="false"/>
          <w:color w:val="000000"/>
          <w:sz w:val="28"/>
        </w:rPr>
        <w:t>Учесть, что в городском бюджете на 2009 год в рамках реализации мероприятий Дорожной карты предусмотрены целевые трансферты,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за счет средств республиканского бюджета в сумме 555 155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86 782 тысячи тенге – на капитальный ремонт котлоагрегата № 9 на районной котельной-2 (РК-2)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153 482 тысячи тенге – на замену магистральных и внутриквартальных тепловых сетей с заменой изоляции 5,4 километров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86 074 тысячи тенге – на ремонт тепловой изоляции сетей 9,2 километров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94 560 тысяч тенге - на реконструкцию тепловой магистрали -1 (ТМ-1) (от районной котельной -1 (РК-1) до железной дороги)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53 120 тысяч тенге - на реконструкцию тепловой магистрали -2 (ТМ-2)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7 794 тысячи тенге – на капитальный ремонт школы сад № 9 «Карлыгаш»;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8 084 тысячи тенге – на капитальный ремонт школы сад № 35 «Звоночек»;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21 243 тысячи тенге – на создание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20 316 тысяч тенге – на расширение программ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23 700 тысяч тенге – на капитальный ремонт средней школы № 2 в селе Красный Яр;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2). За счет средств областного бюджета в сумме 798 596,3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100 000 тысяч тенге – на текущий ремонт подъездной автодороги участка улицы Ш.Уалиханова (от товарищества с ограниченной ответственностью (ТОО) Кокше-бау до объездной дороги, 5,9 километров, въезд со стороны города Щучинска), транзитная автодорога Астана-Кокшетау;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30 000 тысяч тенге – на текущий ремонт подъездной автодороги участка улицы Т.Сулейменова (от проспекта Абылай-хана до путепровода, 1,5 километра въезд со стороны города Петропавловска);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60 167,2 тысяч тенге – на текущий ремонт проспекта Абылай-хана (от улицы М.Горького до улицы Т.Сулейменова);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148 805 тысяч тенге – на ремонт инженерно-коммуникационной инфраструктуры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172 155 тысяч тенге – на замену электрофильтров котлоагрегатов № 8,9 на районной котельной -2 (РК-2)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10 307 тысяч тенге – на капитальный ремонт котлоагрегата № 2 на районной котельной -2 (РК-2)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30 061 тысяча тенге – на капитальный ремонт котлоагрегата № 7 на районной котельной -2 (РК-2)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19 222 тысячи тенге – на ремонт мельницы с заменой брани котлоагрегата № 8 на районной котельной -2 (РК-2)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18 521 тысяча тенге – на средний ремонт котлоагрегата № 10 на районной котельной -2 (РК-2)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18 028 тысяч тенге – на замену трансформатора 7500 на трансформатор масляный (ТМ) 6300 районной котельной -1 (РК-1)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16 359 тысяч тенге – на замену катионита на химводоочистке районной котельной -1 (РК-1)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73 110,3 тысяч тенге – на строительство наружных инженерных сетей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27 635,9 тысяч тенге – на текущий ремонт дорог и благоустройство территорий микрорайона Центральный (от улицы Т.Сулейменова до дома ветеранов);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53 771,9 тысяч тенге – на средний ремонт улиц, прилегающих к строящейся школе на 1200 мест (до садика по улице Северная и Мирзояна);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20 453 тысячи тенге – на текущий ремонт дорог и благоустройство территорий улицы Шокана Уалиханова (от «Кокше–бау» до улицы М.Горького) и улицы М.Горького (от улицы Шокана Уалиханова до проспекта Абылай-хана);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Дополнено пунктом 10-1, решением Кокшетауского городского маслихата Акмолинской области 29.04.2009 </w:t>
      </w:r>
      <w:r>
        <w:rPr>
          <w:rFonts w:ascii="Times New Roman"/>
          <w:b w:val="false"/>
          <w:i w:val="false"/>
          <w:color w:val="000000"/>
          <w:sz w:val="28"/>
        </w:rPr>
        <w:t>№ С-24/5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Пункт 10-1 с изменениями, внесенными решением Кокшетауского городского маслихата Акмолинской области 16.07.2009 </w:t>
      </w:r>
      <w:r>
        <w:rPr>
          <w:rFonts w:ascii="Times New Roman"/>
          <w:b w:val="false"/>
          <w:i w:val="false"/>
          <w:color w:val="000000"/>
          <w:sz w:val="28"/>
        </w:rPr>
        <w:t>№ С-27/5;</w:t>
      </w:r>
      <w:r>
        <w:rPr>
          <w:rFonts w:ascii="Times New Roman"/>
          <w:b w:val="false"/>
          <w:i/>
          <w:color w:val="800000"/>
          <w:sz w:val="28"/>
        </w:rPr>
        <w:t xml:space="preserve"> 26.10.2009 </w:t>
      </w:r>
      <w:r>
        <w:rPr>
          <w:rFonts w:ascii="Times New Roman"/>
          <w:b w:val="false"/>
          <w:i w:val="false"/>
          <w:color w:val="000000"/>
          <w:sz w:val="28"/>
        </w:rPr>
        <w:t>№ С-29/5.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резерв местного исполнительного органа города на 2009 год в сумме </w:t>
      </w:r>
      <w:r>
        <w:rPr>
          <w:rFonts w:ascii="Times New Roman"/>
          <w:b w:val="false"/>
          <w:i w:val="false"/>
          <w:color w:val="000000"/>
          <w:sz w:val="28"/>
        </w:rPr>
        <w:t>110 010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11 с изменениями, внесенными решением Кокшетауского городского маслихата Акмолинской области 30.03.2009 </w:t>
      </w:r>
      <w:r>
        <w:rPr>
          <w:rFonts w:ascii="Times New Roman"/>
          <w:b w:val="false"/>
          <w:i w:val="false"/>
          <w:color w:val="000000"/>
          <w:sz w:val="28"/>
        </w:rPr>
        <w:t>№ С-22/6;</w:t>
      </w:r>
      <w:r>
        <w:rPr>
          <w:rFonts w:ascii="Times New Roman"/>
          <w:b w:val="false"/>
          <w:i/>
          <w:color w:val="800000"/>
          <w:sz w:val="28"/>
        </w:rPr>
        <w:t xml:space="preserve"> 26.10.2009 </w:t>
      </w:r>
      <w:r>
        <w:rPr>
          <w:rFonts w:ascii="Times New Roman"/>
          <w:b w:val="false"/>
          <w:i w:val="false"/>
          <w:color w:val="000000"/>
          <w:sz w:val="28"/>
        </w:rPr>
        <w:t>№ С-29/5.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«Предусмотреть в городском бюджете на 2009 год бюджетные кредиты на строительство и приобретение жилья по нулевой ставке вознаграждения (интереса) в соответствии с Государственной программой жилищного строительства в Республике Казахстан на 2008-2010 годы в сумме 502 195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439 495 тысяч тенге – за счет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62 700 тысяч тенге – за счет средств областного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12 с изменениями, внесенными решениями Кокшетауского городского маслихата Акмолинской области от 03.03.2009 </w:t>
      </w:r>
      <w:r>
        <w:rPr>
          <w:rFonts w:ascii="Times New Roman"/>
          <w:b w:val="false"/>
          <w:i w:val="false"/>
          <w:color w:val="000000"/>
          <w:sz w:val="28"/>
        </w:rPr>
        <w:t>№ С-21/5;</w:t>
      </w:r>
      <w:r>
        <w:rPr>
          <w:rFonts w:ascii="Times New Roman"/>
          <w:b w:val="false"/>
          <w:i/>
          <w:color w:val="800000"/>
          <w:sz w:val="28"/>
        </w:rPr>
        <w:t xml:space="preserve"> 30.03.2009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№ С-22/6;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Учесть в затратах городского бюджета на 2009 год погашение бюджетных кредитов, выделенных из областного бюджета на строительство  жилья, в сумме 142 000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Установить специалистам социального обеспечения, образования, культуры и спорта, работающим в аульной (сельской) местности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Утвердить перечень бюджетных программ развития городского  бюджета на 2009 год с разделением на бюджетные программы, направленные на реализацию бюджетных инвестиционных проектов и на  формирование или увеличение уставного капитала юридических лиц,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16. Утвердить перечень городских бюджетных программ, не подлежащих секвестру в процессе исполнения городского бюджета на 2009 год, согласно приложению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бюджетные программы района в городе, города районного значения, поселка, аула (села), аульного (сельского) округа,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вступает в силу со дня государственной регистрации в Управлении юстиции города Кокшетау и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18-й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четвертого </w:t>
      </w:r>
      <w:r>
        <w:rPr>
          <w:rFonts w:ascii="Times New Roman"/>
          <w:b w:val="false"/>
          <w:i/>
          <w:color w:val="000000"/>
          <w:sz w:val="28"/>
        </w:rPr>
        <w:t xml:space="preserve">созыва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К.Мустафина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Кокшетау                             Б. Сапаров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 2008года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С-18/5 "О городском бюджете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Приложение 1 в редакции решения Кокшетауского городского маслихата от 26.10.2009 </w:t>
      </w:r>
      <w:r>
        <w:rPr>
          <w:rFonts w:ascii="Times New Roman"/>
          <w:b w:val="false"/>
          <w:i w:val="false"/>
          <w:color w:val="000000"/>
          <w:sz w:val="28"/>
        </w:rPr>
        <w:t>№ С-29/5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Городской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881"/>
        <w:gridCol w:w="902"/>
        <w:gridCol w:w="8559"/>
        <w:gridCol w:w="2176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8840221,5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4809065,0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343554,0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343554,0</w:t>
            </w:r>
          </w:p>
        </w:tc>
      </w:tr>
      <w:tr>
        <w:trPr>
          <w:trHeight w:val="2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2245845,0</w:t>
            </w:r>
          </w:p>
        </w:tc>
      </w:tr>
      <w:tr>
        <w:trPr>
          <w:trHeight w:val="3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2245845,0</w:t>
            </w:r>
          </w:p>
        </w:tc>
      </w:tr>
      <w:tr>
        <w:trPr>
          <w:trHeight w:val="2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548630,0</w:t>
            </w:r>
          </w:p>
        </w:tc>
      </w:tr>
      <w:tr>
        <w:trPr>
          <w:trHeight w:val="34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288971,0</w:t>
            </w:r>
          </w:p>
        </w:tc>
      </w:tr>
      <w:tr>
        <w:trPr>
          <w:trHeight w:val="3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87723,0</w:t>
            </w:r>
          </w:p>
        </w:tc>
      </w:tr>
      <w:tr>
        <w:trPr>
          <w:trHeight w:val="34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171800,0</w:t>
            </w:r>
          </w:p>
        </w:tc>
      </w:tr>
      <w:tr>
        <w:trPr>
          <w:trHeight w:val="3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</w:tr>
      <w:tr>
        <w:trPr>
          <w:trHeight w:val="52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1544964,0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1434696,0</w:t>
            </w:r>
          </w:p>
        </w:tc>
      </w:tr>
      <w:tr>
        <w:trPr>
          <w:trHeight w:val="5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5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70268,0</w:t>
            </w:r>
          </w:p>
        </w:tc>
      </w:tr>
      <w:tr>
        <w:trPr>
          <w:trHeight w:val="79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126072,0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126072,0</w:t>
            </w:r>
          </w:p>
        </w:tc>
      </w:tr>
      <w:tr>
        <w:trPr>
          <w:trHeight w:val="39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140681,0</w:t>
            </w:r>
          </w:p>
        </w:tc>
      </w:tr>
      <w:tr>
        <w:trPr>
          <w:trHeight w:val="3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7470,0</w:t>
            </w:r>
          </w:p>
        </w:tc>
      </w:tr>
      <w:tr>
        <w:trPr>
          <w:trHeight w:val="5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5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9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82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8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8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129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124698,0</w:t>
            </w:r>
          </w:p>
        </w:tc>
      </w:tr>
      <w:tr>
        <w:trPr>
          <w:trHeight w:val="15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124698,0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2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446895,0</w:t>
            </w:r>
          </w:p>
        </w:tc>
      </w:tr>
      <w:tr>
        <w:trPr>
          <w:trHeight w:val="5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145270,0</w:t>
            </w:r>
          </w:p>
        </w:tc>
      </w:tr>
      <w:tr>
        <w:trPr>
          <w:trHeight w:val="5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145270,0</w:t>
            </w:r>
          </w:p>
        </w:tc>
      </w:tr>
      <w:tr>
        <w:trPr>
          <w:trHeight w:val="2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301625,0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1625,0</w:t>
            </w:r>
          </w:p>
        </w:tc>
      </w:tr>
      <w:tr>
        <w:trPr>
          <w:trHeight w:val="34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  трансфертов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3443580,5</w:t>
            </w:r>
          </w:p>
        </w:tc>
      </w:tr>
      <w:tr>
        <w:trPr>
          <w:trHeight w:val="5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3443580,5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3443580,5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901"/>
        <w:gridCol w:w="860"/>
        <w:gridCol w:w="921"/>
        <w:gridCol w:w="7643"/>
        <w:gridCol w:w="221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9294962,1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126611,4</w:t>
            </w:r>
          </w:p>
        </w:tc>
      </w:tr>
      <w:tr>
        <w:trPr>
          <w:trHeight w:val="8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74182,0</w:t>
            </w:r>
          </w:p>
        </w:tc>
      </w:tr>
      <w:tr>
        <w:trPr>
          <w:trHeight w:val="5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10450,0</w:t>
            </w:r>
          </w:p>
        </w:tc>
      </w:tr>
      <w:tr>
        <w:trPr>
          <w:trHeight w:val="66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10450,0</w:t>
            </w:r>
          </w:p>
        </w:tc>
      </w:tr>
      <w:tr>
        <w:trPr>
          <w:trHeight w:val="5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50779,0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50779,0</w:t>
            </w:r>
          </w:p>
        </w:tc>
      </w:tr>
      <w:tr>
        <w:trPr>
          <w:trHeight w:val="7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12953,0</w:t>
            </w:r>
          </w:p>
        </w:tc>
      </w:tr>
      <w:tr>
        <w:trPr>
          <w:trHeight w:val="99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12953,0</w:t>
            </w:r>
          </w:p>
        </w:tc>
      </w:tr>
      <w:tr>
        <w:trPr>
          <w:trHeight w:val="4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38064,0</w:t>
            </w:r>
          </w:p>
        </w:tc>
      </w:tr>
      <w:tr>
        <w:trPr>
          <w:trHeight w:val="49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38064,0</w:t>
            </w:r>
          </w:p>
        </w:tc>
      </w:tr>
      <w:tr>
        <w:trPr>
          <w:trHeight w:val="5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20383,0</w:t>
            </w:r>
          </w:p>
        </w:tc>
      </w:tr>
      <w:tr>
        <w:trPr>
          <w:trHeight w:val="6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2739,0</w:t>
            </w:r>
          </w:p>
        </w:tc>
      </w:tr>
      <w:tr>
        <w:trPr>
          <w:trHeight w:val="8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14942,0</w:t>
            </w:r>
          </w:p>
        </w:tc>
      </w:tr>
      <w:tr>
        <w:trPr>
          <w:trHeight w:val="40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14365,4</w:t>
            </w:r>
          </w:p>
        </w:tc>
      </w:tr>
      <w:tr>
        <w:trPr>
          <w:trHeight w:val="8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14365,4</w:t>
            </w:r>
          </w:p>
        </w:tc>
      </w:tr>
      <w:tr>
        <w:trPr>
          <w:trHeight w:val="61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 планирования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14318,4</w:t>
            </w:r>
          </w:p>
        </w:tc>
      </w:tr>
      <w:tr>
        <w:trPr>
          <w:trHeight w:val="4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</w:tr>
      <w:tr>
        <w:trPr>
          <w:trHeight w:val="3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11265,0</w:t>
            </w:r>
          </w:p>
        </w:tc>
      </w:tr>
      <w:tr>
        <w:trPr>
          <w:trHeight w:val="1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4865,0</w:t>
            </w:r>
          </w:p>
        </w:tc>
      </w:tr>
      <w:tr>
        <w:trPr>
          <w:trHeight w:val="66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4865,0</w:t>
            </w:r>
          </w:p>
        </w:tc>
      </w:tr>
      <w:tr>
        <w:trPr>
          <w:trHeight w:val="51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4865,0</w:t>
            </w:r>
          </w:p>
        </w:tc>
      </w:tr>
      <w:tr>
        <w:trPr>
          <w:trHeight w:val="4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5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8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8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45370,0</w:t>
            </w:r>
          </w:p>
        </w:tc>
      </w:tr>
      <w:tr>
        <w:trPr>
          <w:trHeight w:val="43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45370,0</w:t>
            </w:r>
          </w:p>
        </w:tc>
      </w:tr>
      <w:tr>
        <w:trPr>
          <w:trHeight w:val="8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45370,0</w:t>
            </w:r>
          </w:p>
        </w:tc>
      </w:tr>
      <w:tr>
        <w:trPr>
          <w:trHeight w:val="70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45370,0</w:t>
            </w:r>
          </w:p>
        </w:tc>
      </w:tr>
      <w:tr>
        <w:trPr>
          <w:trHeight w:val="1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3584843,6</w:t>
            </w:r>
          </w:p>
        </w:tc>
      </w:tr>
      <w:tr>
        <w:trPr>
          <w:trHeight w:val="1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23121,0</w:t>
            </w:r>
          </w:p>
        </w:tc>
      </w:tr>
      <w:tr>
        <w:trPr>
          <w:trHeight w:val="5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23121,0</w:t>
            </w:r>
          </w:p>
        </w:tc>
      </w:tr>
      <w:tr>
        <w:trPr>
          <w:trHeight w:val="5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23121,0</w:t>
            </w:r>
          </w:p>
        </w:tc>
      </w:tr>
      <w:tr>
        <w:trPr>
          <w:trHeight w:val="30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2494185,6</w:t>
            </w:r>
          </w:p>
        </w:tc>
      </w:tr>
      <w:tr>
        <w:trPr>
          <w:trHeight w:val="60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2494185,6</w:t>
            </w:r>
          </w:p>
        </w:tc>
      </w:tr>
      <w:tr>
        <w:trPr>
          <w:trHeight w:val="1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2358099,6</w:t>
            </w:r>
          </w:p>
        </w:tc>
      </w:tr>
      <w:tr>
        <w:trPr>
          <w:trHeight w:val="1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104535,0</w:t>
            </w:r>
          </w:p>
        </w:tc>
      </w:tr>
      <w:tr>
        <w:trPr>
          <w:trHeight w:val="9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системе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31551,0</w:t>
            </w:r>
          </w:p>
        </w:tc>
      </w:tr>
      <w:tr>
        <w:trPr>
          <w:trHeight w:val="36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11514,0</w:t>
            </w:r>
          </w:p>
        </w:tc>
      </w:tr>
      <w:tr>
        <w:trPr>
          <w:trHeight w:val="60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11514,0</w:t>
            </w:r>
          </w:p>
        </w:tc>
      </w:tr>
      <w:tr>
        <w:trPr>
          <w:trHeight w:val="49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11514,0</w:t>
            </w:r>
          </w:p>
        </w:tc>
      </w:tr>
      <w:tr>
        <w:trPr>
          <w:trHeight w:val="1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1056023,0</w:t>
            </w:r>
          </w:p>
        </w:tc>
      </w:tr>
      <w:tr>
        <w:trPr>
          <w:trHeight w:val="6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70048,0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10245,0</w:t>
            </w:r>
          </w:p>
        </w:tc>
      </w:tr>
      <w:tr>
        <w:trPr>
          <w:trHeight w:val="7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4322,0</w:t>
            </w:r>
          </w:p>
        </w:tc>
      </w:tr>
      <w:tr>
        <w:trPr>
          <w:trHeight w:val="99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15322,0</w:t>
            </w:r>
          </w:p>
        </w:tc>
      </w:tr>
      <w:tr>
        <w:trPr>
          <w:trHeight w:val="60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581,0</w:t>
            </w:r>
          </w:p>
        </w:tc>
      </w:tr>
      <w:tr>
        <w:trPr>
          <w:trHeight w:val="8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обьектов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39578,0</w:t>
            </w:r>
          </w:p>
        </w:tc>
      </w:tr>
      <w:tr>
        <w:trPr>
          <w:trHeight w:val="6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985975,0</w:t>
            </w:r>
          </w:p>
        </w:tc>
      </w:tr>
      <w:tr>
        <w:trPr>
          <w:trHeight w:val="51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обьектов образования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985975,0</w:t>
            </w:r>
          </w:p>
        </w:tc>
      </w:tr>
      <w:tr>
        <w:trPr>
          <w:trHeight w:val="31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356090,3</w:t>
            </w:r>
          </w:p>
        </w:tc>
      </w:tr>
      <w:tr>
        <w:trPr>
          <w:trHeight w:val="34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309110,0</w:t>
            </w:r>
          </w:p>
        </w:tc>
      </w:tr>
      <w:tr>
        <w:trPr>
          <w:trHeight w:val="5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309110,0</w:t>
            </w:r>
          </w:p>
        </w:tc>
      </w:tr>
      <w:tr>
        <w:trPr>
          <w:trHeight w:val="21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75350,0</w:t>
            </w:r>
          </w:p>
        </w:tc>
      </w:tr>
      <w:tr>
        <w:trPr>
          <w:trHeight w:val="126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2685,0</w:t>
            </w:r>
          </w:p>
        </w:tc>
      </w:tr>
      <w:tr>
        <w:trPr>
          <w:trHeight w:val="51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19844,0</w:t>
            </w:r>
          </w:p>
        </w:tc>
      </w:tr>
      <w:tr>
        <w:trPr>
          <w:trHeight w:val="4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32025,0</w:t>
            </w:r>
          </w:p>
        </w:tc>
      </w:tr>
      <w:tr>
        <w:trPr>
          <w:trHeight w:val="73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82444,0</w:t>
            </w:r>
          </w:p>
        </w:tc>
      </w:tr>
      <w:tr>
        <w:trPr>
          <w:trHeight w:val="60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1463,0</w:t>
            </w:r>
          </w:p>
        </w:tc>
      </w:tr>
      <w:tr>
        <w:trPr>
          <w:trHeight w:val="60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20002,0</w:t>
            </w:r>
          </w:p>
        </w:tc>
      </w:tr>
      <w:tr>
        <w:trPr>
          <w:trHeight w:val="49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37597,0</w:t>
            </w:r>
          </w:p>
        </w:tc>
      </w:tr>
      <w:tr>
        <w:trPr>
          <w:trHeight w:val="5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11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26700,0</w:t>
            </w:r>
          </w:p>
        </w:tc>
      </w:tr>
      <w:tr>
        <w:trPr>
          <w:trHeight w:val="3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46980,3</w:t>
            </w:r>
          </w:p>
        </w:tc>
      </w:tr>
      <w:tr>
        <w:trPr>
          <w:trHeight w:val="34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46980,3</w:t>
            </w:r>
          </w:p>
        </w:tc>
      </w:tr>
      <w:tr>
        <w:trPr>
          <w:trHeight w:val="43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45831,3</w:t>
            </w:r>
          </w:p>
        </w:tc>
      </w:tr>
      <w:tr>
        <w:trPr>
          <w:trHeight w:val="81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1149,0</w:t>
            </w:r>
          </w:p>
        </w:tc>
      </w:tr>
      <w:tr>
        <w:trPr>
          <w:trHeight w:val="1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2832530,6</w:t>
            </w:r>
          </w:p>
        </w:tc>
      </w:tr>
      <w:tr>
        <w:trPr>
          <w:trHeight w:val="19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1196051,3</w:t>
            </w:r>
          </w:p>
        </w:tc>
      </w:tr>
      <w:tr>
        <w:trPr>
          <w:trHeight w:val="8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5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категории граждан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5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строительства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1187051,3</w:t>
            </w:r>
          </w:p>
        </w:tc>
      </w:tr>
      <w:tr>
        <w:trPr>
          <w:trHeight w:val="7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2802,0</w:t>
            </w:r>
          </w:p>
        </w:tc>
      </w:tr>
      <w:tr>
        <w:trPr>
          <w:trHeight w:val="5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375582,4</w:t>
            </w:r>
          </w:p>
        </w:tc>
      </w:tr>
      <w:tr>
        <w:trPr>
          <w:trHeight w:val="5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808666,9</w:t>
            </w:r>
          </w:p>
        </w:tc>
      </w:tr>
      <w:tr>
        <w:trPr>
          <w:trHeight w:val="1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1414094,3</w:t>
            </w:r>
          </w:p>
        </w:tc>
      </w:tr>
      <w:tr>
        <w:trPr>
          <w:trHeight w:val="9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8856,0</w:t>
            </w:r>
          </w:p>
        </w:tc>
      </w:tr>
      <w:tr>
        <w:trPr>
          <w:trHeight w:val="4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8856,0</w:t>
            </w:r>
          </w:p>
        </w:tc>
      </w:tr>
      <w:tr>
        <w:trPr>
          <w:trHeight w:val="105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884448,0</w:t>
            </w:r>
          </w:p>
        </w:tc>
      </w:tr>
      <w:tr>
        <w:trPr>
          <w:trHeight w:val="5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124652,0</w:t>
            </w:r>
          </w:p>
        </w:tc>
      </w:tr>
      <w:tr>
        <w:trPr>
          <w:trHeight w:val="9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759796,0</w:t>
            </w:r>
          </w:p>
        </w:tc>
      </w:tr>
      <w:tr>
        <w:trPr>
          <w:trHeight w:val="5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строительства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520790,3</w:t>
            </w:r>
          </w:p>
        </w:tc>
      </w:tr>
      <w:tr>
        <w:trPr>
          <w:trHeight w:val="15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96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220790,3</w:t>
            </w:r>
          </w:p>
        </w:tc>
      </w:tr>
      <w:tr>
        <w:trPr>
          <w:trHeight w:val="5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222385,0</w:t>
            </w:r>
          </w:p>
        </w:tc>
      </w:tr>
      <w:tr>
        <w:trPr>
          <w:trHeight w:val="8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13443,0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1095,0</w:t>
            </w:r>
          </w:p>
        </w:tc>
      </w:tr>
      <w:tr>
        <w:trPr>
          <w:trHeight w:val="45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7276,0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5072,0</w:t>
            </w:r>
          </w:p>
        </w:tc>
      </w:tr>
      <w:tr>
        <w:trPr>
          <w:trHeight w:val="10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208942,0</w:t>
            </w:r>
          </w:p>
        </w:tc>
      </w:tr>
      <w:tr>
        <w:trPr>
          <w:trHeight w:val="49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26587,0</w:t>
            </w:r>
          </w:p>
        </w:tc>
      </w:tr>
      <w:tr>
        <w:trPr>
          <w:trHeight w:val="49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110529,0</w:t>
            </w:r>
          </w:p>
        </w:tc>
      </w:tr>
      <w:tr>
        <w:trPr>
          <w:trHeight w:val="60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6436,0</w:t>
            </w:r>
          </w:p>
        </w:tc>
      </w:tr>
      <w:tr>
        <w:trPr>
          <w:trHeight w:val="5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65390,0</w:t>
            </w:r>
          </w:p>
        </w:tc>
      </w:tr>
      <w:tr>
        <w:trPr>
          <w:trHeight w:val="61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527384,9</w:t>
            </w:r>
          </w:p>
        </w:tc>
      </w:tr>
      <w:tr>
        <w:trPr>
          <w:trHeight w:val="4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93674,0</w:t>
            </w:r>
          </w:p>
        </w:tc>
      </w:tr>
      <w:tr>
        <w:trPr>
          <w:trHeight w:val="60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15686,0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15686,0</w:t>
            </w:r>
          </w:p>
        </w:tc>
      </w:tr>
      <w:tr>
        <w:trPr>
          <w:trHeight w:val="5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77988,0</w:t>
            </w:r>
          </w:p>
        </w:tc>
      </w:tr>
      <w:tr>
        <w:trPr>
          <w:trHeight w:val="34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77988,0</w:t>
            </w:r>
          </w:p>
        </w:tc>
      </w:tr>
      <w:tr>
        <w:trPr>
          <w:trHeight w:val="43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349077,1</w:t>
            </w:r>
          </w:p>
        </w:tc>
      </w:tr>
      <w:tr>
        <w:trPr>
          <w:trHeight w:val="5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13990,0</w:t>
            </w:r>
          </w:p>
        </w:tc>
      </w:tr>
      <w:tr>
        <w:trPr>
          <w:trHeight w:val="73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4098,0</w:t>
            </w:r>
          </w:p>
        </w:tc>
      </w:tr>
      <w:tr>
        <w:trPr>
          <w:trHeight w:val="96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9892,0</w:t>
            </w:r>
          </w:p>
        </w:tc>
      </w:tr>
      <w:tr>
        <w:trPr>
          <w:trHeight w:val="5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строительства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335087,1</w:t>
            </w:r>
          </w:p>
        </w:tc>
      </w:tr>
      <w:tr>
        <w:trPr>
          <w:trHeight w:val="1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335087,1</w:t>
            </w:r>
          </w:p>
        </w:tc>
      </w:tr>
      <w:tr>
        <w:trPr>
          <w:trHeight w:val="1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56565,0</w:t>
            </w:r>
          </w:p>
        </w:tc>
      </w:tr>
      <w:tr>
        <w:trPr>
          <w:trHeight w:val="61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37580,0</w:t>
            </w:r>
          </w:p>
        </w:tc>
      </w:tr>
      <w:tr>
        <w:trPr>
          <w:trHeight w:val="4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35485,0</w:t>
            </w:r>
          </w:p>
        </w:tc>
      </w:tr>
      <w:tr>
        <w:trPr>
          <w:trHeight w:val="5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2095,0</w:t>
            </w:r>
          </w:p>
        </w:tc>
      </w:tr>
      <w:tr>
        <w:trPr>
          <w:trHeight w:val="5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 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18985,0</w:t>
            </w:r>
          </w:p>
        </w:tc>
      </w:tr>
      <w:tr>
        <w:trPr>
          <w:trHeight w:val="70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18985,0</w:t>
            </w:r>
          </w:p>
        </w:tc>
      </w:tr>
      <w:tr>
        <w:trPr>
          <w:trHeight w:val="8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28068,8</w:t>
            </w:r>
          </w:p>
        </w:tc>
      </w:tr>
      <w:tr>
        <w:trPr>
          <w:trHeight w:val="51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8421,0</w:t>
            </w:r>
          </w:p>
        </w:tc>
      </w:tr>
      <w:tr>
        <w:trPr>
          <w:trHeight w:val="5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8421,0</w:t>
            </w:r>
          </w:p>
        </w:tc>
      </w:tr>
      <w:tr>
        <w:trPr>
          <w:trHeight w:val="5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 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13824,0</w:t>
            </w:r>
          </w:p>
        </w:tc>
      </w:tr>
      <w:tr>
        <w:trPr>
          <w:trHeight w:val="34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11752,0</w:t>
            </w:r>
          </w:p>
        </w:tc>
      </w:tr>
      <w:tr>
        <w:trPr>
          <w:trHeight w:val="45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2072,0</w:t>
            </w:r>
          </w:p>
        </w:tc>
      </w:tr>
      <w:tr>
        <w:trPr>
          <w:trHeight w:val="5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5823,8</w:t>
            </w:r>
          </w:p>
        </w:tc>
      </w:tr>
      <w:tr>
        <w:trPr>
          <w:trHeight w:val="5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5823,8</w:t>
            </w:r>
          </w:p>
        </w:tc>
      </w:tr>
      <w:tr>
        <w:trPr>
          <w:trHeight w:val="111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18097,0</w:t>
            </w:r>
          </w:p>
        </w:tc>
      </w:tr>
      <w:tr>
        <w:trPr>
          <w:trHeight w:val="36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7477,0</w:t>
            </w:r>
          </w:p>
        </w:tc>
      </w:tr>
      <w:tr>
        <w:trPr>
          <w:trHeight w:val="43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4270,0</w:t>
            </w:r>
          </w:p>
        </w:tc>
      </w:tr>
      <w:tr>
        <w:trPr>
          <w:trHeight w:val="5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4270,0</w:t>
            </w:r>
          </w:p>
        </w:tc>
      </w:tr>
      <w:tr>
        <w:trPr>
          <w:trHeight w:val="70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3207,0</w:t>
            </w:r>
          </w:p>
        </w:tc>
      </w:tr>
      <w:tr>
        <w:trPr>
          <w:trHeight w:val="96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3207,0</w:t>
            </w:r>
          </w:p>
        </w:tc>
      </w:tr>
      <w:tr>
        <w:trPr>
          <w:trHeight w:val="30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10620,0</w:t>
            </w:r>
          </w:p>
        </w:tc>
      </w:tr>
      <w:tr>
        <w:trPr>
          <w:trHeight w:val="5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10620,0</w:t>
            </w:r>
          </w:p>
        </w:tc>
      </w:tr>
      <w:tr>
        <w:trPr>
          <w:trHeight w:val="36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10620,0</w:t>
            </w:r>
          </w:p>
        </w:tc>
      </w:tr>
      <w:tr>
        <w:trPr>
          <w:trHeight w:val="73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70913,0</w:t>
            </w:r>
          </w:p>
        </w:tc>
      </w:tr>
      <w:tr>
        <w:trPr>
          <w:trHeight w:val="5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70913,0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строительства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18752,0</w:t>
            </w:r>
          </w:p>
        </w:tc>
      </w:tr>
      <w:tr>
        <w:trPr>
          <w:trHeight w:val="51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  строительства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18752,0</w:t>
            </w:r>
          </w:p>
        </w:tc>
      </w:tr>
      <w:tr>
        <w:trPr>
          <w:trHeight w:val="61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52161,0</w:t>
            </w:r>
          </w:p>
        </w:tc>
      </w:tr>
      <w:tr>
        <w:trPr>
          <w:trHeight w:val="39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8697,0</w:t>
            </w:r>
          </w:p>
        </w:tc>
      </w:tr>
      <w:tr>
        <w:trPr>
          <w:trHeight w:val="9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43464,0</w:t>
            </w:r>
          </w:p>
        </w:tc>
      </w:tr>
      <w:tr>
        <w:trPr>
          <w:trHeight w:val="3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429102,0</w:t>
            </w:r>
          </w:p>
        </w:tc>
      </w:tr>
      <w:tr>
        <w:trPr>
          <w:trHeight w:val="1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137074,0</w:t>
            </w:r>
          </w:p>
        </w:tc>
      </w:tr>
      <w:tr>
        <w:trPr>
          <w:trHeight w:val="60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4806,0</w:t>
            </w:r>
          </w:p>
        </w:tc>
      </w:tr>
      <w:tr>
        <w:trPr>
          <w:trHeight w:val="81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поселках,аулах (селах), аульных (сельских) округах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4806,0</w:t>
            </w:r>
          </w:p>
        </w:tc>
      </w:tr>
      <w:tr>
        <w:trPr>
          <w:trHeight w:val="10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132268,0</w:t>
            </w:r>
          </w:p>
        </w:tc>
      </w:tr>
      <w:tr>
        <w:trPr>
          <w:trHeight w:val="3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132268,0</w:t>
            </w:r>
          </w:p>
        </w:tc>
      </w:tr>
      <w:tr>
        <w:trPr>
          <w:trHeight w:val="40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292028,0</w:t>
            </w:r>
          </w:p>
        </w:tc>
      </w:tr>
      <w:tr>
        <w:trPr>
          <w:trHeight w:val="94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292028,0</w:t>
            </w:r>
          </w:p>
        </w:tc>
      </w:tr>
      <w:tr>
        <w:trPr>
          <w:trHeight w:val="8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292028,0</w:t>
            </w:r>
          </w:p>
        </w:tc>
      </w:tr>
      <w:tr>
        <w:trPr>
          <w:trHeight w:val="30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151411,7</w:t>
            </w:r>
          </w:p>
        </w:tc>
      </w:tr>
      <w:tr>
        <w:trPr>
          <w:trHeight w:val="5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  предпринимательской деятельности и защита конкуренции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4444,0</w:t>
            </w:r>
          </w:p>
        </w:tc>
      </w:tr>
      <w:tr>
        <w:trPr>
          <w:trHeight w:val="5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4444,0</w:t>
            </w:r>
          </w:p>
        </w:tc>
      </w:tr>
      <w:tr>
        <w:trPr>
          <w:trHeight w:val="5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предпринимательства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4144,0</w:t>
            </w:r>
          </w:p>
        </w:tc>
      </w:tr>
      <w:tr>
        <w:trPr>
          <w:trHeight w:val="36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146967,7</w:t>
            </w:r>
          </w:p>
        </w:tc>
      </w:tr>
      <w:tr>
        <w:trPr>
          <w:trHeight w:val="5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110010,0</w:t>
            </w:r>
          </w:p>
        </w:tc>
      </w:tr>
      <w:tr>
        <w:trPr>
          <w:trHeight w:val="70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110010,0</w:t>
            </w:r>
          </w:p>
        </w:tc>
      </w:tr>
      <w:tr>
        <w:trPr>
          <w:trHeight w:val="100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36957,7</w:t>
            </w:r>
          </w:p>
        </w:tc>
      </w:tr>
      <w:tr>
        <w:trPr>
          <w:trHeight w:val="61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36957,7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1141342,6</w:t>
            </w:r>
          </w:p>
        </w:tc>
      </w:tr>
      <w:tr>
        <w:trPr>
          <w:trHeight w:val="4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1141342,6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1141342,6</w:t>
            </w:r>
          </w:p>
        </w:tc>
      </w:tr>
      <w:tr>
        <w:trPr>
          <w:trHeight w:val="81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1271,6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1140071,0</w:t>
            </w:r>
          </w:p>
        </w:tc>
      </w:tr>
      <w:tr>
        <w:trPr>
          <w:trHeight w:val="30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-153905,0</w:t>
            </w:r>
          </w:p>
        </w:tc>
      </w:tr>
      <w:tr>
        <w:trPr>
          <w:trHeight w:val="39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кредиты;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153905,0</w:t>
            </w:r>
          </w:p>
        </w:tc>
      </w:tr>
      <w:tr>
        <w:trPr>
          <w:trHeight w:val="39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153905,0</w:t>
            </w:r>
          </w:p>
        </w:tc>
      </w:tr>
      <w:tr>
        <w:trPr>
          <w:trHeight w:val="39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153905,0</w:t>
            </w:r>
          </w:p>
        </w:tc>
      </w:tr>
      <w:tr>
        <w:trPr>
          <w:trHeight w:val="5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135893,2</w:t>
            </w:r>
          </w:p>
        </w:tc>
      </w:tr>
      <w:tr>
        <w:trPr>
          <w:trHeight w:val="39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активов;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135893,2</w:t>
            </w:r>
          </w:p>
        </w:tc>
      </w:tr>
      <w:tr>
        <w:trPr>
          <w:trHeight w:val="39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135893,2</w:t>
            </w:r>
          </w:p>
        </w:tc>
      </w:tr>
      <w:tr>
        <w:trPr>
          <w:trHeight w:val="39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135893,2</w:t>
            </w:r>
          </w:p>
        </w:tc>
      </w:tr>
      <w:tr>
        <w:trPr>
          <w:trHeight w:val="60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135893,2</w:t>
            </w:r>
          </w:p>
        </w:tc>
      </w:tr>
      <w:tr>
        <w:trPr>
          <w:trHeight w:val="5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135893,2</w:t>
            </w:r>
          </w:p>
        </w:tc>
      </w:tr>
      <w:tr>
        <w:trPr>
          <w:trHeight w:val="2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-436728,8</w:t>
            </w:r>
          </w:p>
        </w:tc>
      </w:tr>
      <w:tr>
        <w:trPr>
          <w:trHeight w:val="5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436728,8</w:t>
            </w:r>
          </w:p>
        </w:tc>
      </w:tr>
      <w:tr>
        <w:trPr>
          <w:trHeight w:val="1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502195,0</w:t>
            </w:r>
          </w:p>
        </w:tc>
      </w:tr>
      <w:tr>
        <w:trPr>
          <w:trHeight w:val="1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502195,0</w:t>
            </w:r>
          </w:p>
        </w:tc>
      </w:tr>
      <w:tr>
        <w:trPr>
          <w:trHeight w:val="21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502195,0</w:t>
            </w:r>
          </w:p>
        </w:tc>
      </w:tr>
      <w:tr>
        <w:trPr>
          <w:trHeight w:val="36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142000,0</w:t>
            </w:r>
          </w:p>
        </w:tc>
      </w:tr>
      <w:tr>
        <w:trPr>
          <w:trHeight w:val="30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142000,0</w:t>
            </w:r>
          </w:p>
        </w:tc>
      </w:tr>
      <w:tr>
        <w:trPr>
          <w:trHeight w:val="5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142000,0</w:t>
            </w:r>
          </w:p>
        </w:tc>
      </w:tr>
      <w:tr>
        <w:trPr>
          <w:trHeight w:val="30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142000,0</w:t>
            </w:r>
          </w:p>
        </w:tc>
      </w:tr>
      <w:tr>
        <w:trPr>
          <w:trHeight w:val="36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76533,8</w:t>
            </w:r>
          </w:p>
        </w:tc>
      </w:tr>
      <w:tr>
        <w:trPr>
          <w:trHeight w:val="2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76533,8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76533,8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маслихата от 23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С-18/5 "О городском бюджете на 2008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2 в редакции решения Кокшетауского городского маслихата от 26.10.2009 </w:t>
      </w:r>
      <w:r>
        <w:rPr>
          <w:rFonts w:ascii="Times New Roman"/>
          <w:b w:val="false"/>
          <w:i w:val="false"/>
          <w:color w:val="000000"/>
          <w:sz w:val="28"/>
        </w:rPr>
        <w:t>№ С-29/5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развития городского бюджета на 2009 год с разделением на бюджетные программы, направленные на реализацию бюджетных инвестиционных проектов и на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802"/>
        <w:gridCol w:w="822"/>
        <w:gridCol w:w="822"/>
        <w:gridCol w:w="1015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5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обьектов образования</w:t>
            </w:r>
          </w:p>
        </w:tc>
      </w:tr>
      <w:tr>
        <w:trPr>
          <w:trHeight w:val="3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8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категории граждан</w:t>
            </w:r>
          </w:p>
        </w:tc>
      </w:tr>
      <w:tr>
        <w:trPr>
          <w:trHeight w:val="5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5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4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</w:p>
        </w:tc>
      </w:tr>
      <w:tr>
        <w:trPr>
          <w:trHeight w:val="4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4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99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перподготовки кадров</w:t>
            </w:r>
          </w:p>
        </w:tc>
      </w:tr>
      <w:tr>
        <w:trPr>
          <w:trHeight w:val="5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5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5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3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 увеличение уставного капитала юридических лиц</w:t>
            </w:r>
          </w:p>
        </w:tc>
      </w:tr>
      <w:tr>
        <w:trPr>
          <w:trHeight w:val="12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маслихата от 23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С-18/5 "О городском бюджете на 2009 год"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программ, не подлежащих секвестру в процессе исполнения городского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1124"/>
        <w:gridCol w:w="1138"/>
        <w:gridCol w:w="1447"/>
        <w:gridCol w:w="8284"/>
      </w:tblGrid>
      <w:tr>
        <w:trPr>
          <w:trHeight w:val="18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наль-ная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функ-ция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Адми-нис-тра-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грамма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2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маслихата от 23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С-18/5 "О городском бюджете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4 в редакции решения Кокшетауского городского маслихата от 26.10.2009 </w:t>
      </w:r>
      <w:r>
        <w:rPr>
          <w:rFonts w:ascii="Times New Roman"/>
          <w:b w:val="false"/>
          <w:i w:val="false"/>
          <w:color w:val="000000"/>
          <w:sz w:val="28"/>
        </w:rPr>
        <w:t>№ С-29/5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Бюджетные программы района в городе, города районного значения, поселка, аула (села), аульного (сельского) округа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720"/>
        <w:gridCol w:w="922"/>
        <w:gridCol w:w="963"/>
        <w:gridCol w:w="7634"/>
        <w:gridCol w:w="223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9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8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Красноярского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42432</w:t>
            </w:r>
          </w:p>
        </w:tc>
      </w:tr>
      <w:tr>
        <w:trPr>
          <w:trHeight w:val="40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</w:t>
            </w:r>
          </w:p>
        </w:tc>
      </w:tr>
      <w:tr>
        <w:trPr>
          <w:trHeight w:val="9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</w:t>
            </w:r>
          </w:p>
        </w:tc>
      </w:tr>
      <w:tr>
        <w:trPr>
          <w:trHeight w:val="79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</w:t>
            </w:r>
          </w:p>
        </w:tc>
      </w:tr>
      <w:tr>
        <w:trPr>
          <w:trHeight w:val="11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16767</w:t>
            </w:r>
          </w:p>
        </w:tc>
      </w:tr>
      <w:tr>
        <w:trPr>
          <w:trHeight w:val="45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</w:t>
            </w:r>
          </w:p>
        </w:tc>
      </w:tr>
      <w:tr>
        <w:trPr>
          <w:trHeight w:val="51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</w:t>
            </w:r>
          </w:p>
        </w:tc>
      </w:tr>
      <w:tr>
        <w:trPr>
          <w:trHeight w:val="15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</w:t>
            </w:r>
          </w:p>
        </w:tc>
      </w:tr>
      <w:tr>
        <w:trPr>
          <w:trHeight w:val="51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</w:t>
            </w:r>
          </w:p>
        </w:tc>
      </w:tr>
      <w:tr>
        <w:trPr>
          <w:trHeight w:val="43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37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</w:t>
            </w:r>
          </w:p>
        </w:tc>
      </w:tr>
      <w:tr>
        <w:trPr>
          <w:trHeight w:val="37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15686</w:t>
            </w:r>
          </w:p>
        </w:tc>
      </w:tr>
      <w:tr>
        <w:trPr>
          <w:trHeight w:val="49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15686</w:t>
            </w:r>
          </w:p>
        </w:tc>
      </w:tr>
      <w:tr>
        <w:trPr>
          <w:trHeight w:val="51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15686</w:t>
            </w:r>
          </w:p>
        </w:tc>
      </w:tr>
      <w:tr>
        <w:trPr>
          <w:trHeight w:val="64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15686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</w:tr>
      <w:tr>
        <w:trPr>
          <w:trHeight w:val="51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</w:tr>
      <w:tr>
        <w:trPr>
          <w:trHeight w:val="96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поселках,аулах (селах), аульных (сельских) округах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</w:tr>
      <w:tr>
        <w:trPr>
          <w:trHeight w:val="1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пос.Станционный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13312</w:t>
            </w:r>
          </w:p>
        </w:tc>
      </w:tr>
      <w:tr>
        <w:trPr>
          <w:trHeight w:val="64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</w:t>
            </w:r>
          </w:p>
        </w:tc>
      </w:tr>
      <w:tr>
        <w:trPr>
          <w:trHeight w:val="70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</w:t>
            </w:r>
          </w:p>
        </w:tc>
      </w:tr>
      <w:tr>
        <w:trPr>
          <w:trHeight w:val="84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</w:t>
            </w:r>
          </w:p>
        </w:tc>
      </w:tr>
      <w:tr>
        <w:trPr>
          <w:trHeight w:val="11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</w:t>
            </w:r>
          </w:p>
        </w:tc>
      </w:tr>
      <w:tr>
        <w:trPr>
          <w:trHeight w:val="16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15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7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6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</w:t>
            </w:r>
          </w:p>
        </w:tc>
      </w:tr>
      <w:tr>
        <w:trPr>
          <w:trHeight w:val="51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</w:t>
            </w:r>
          </w:p>
        </w:tc>
      </w:tr>
      <w:tr>
        <w:trPr>
          <w:trHeight w:val="28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</w:p>
        </w:tc>
      </w:tr>
      <w:tr>
        <w:trPr>
          <w:trHeight w:val="27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</w:p>
        </w:tc>
      </w:tr>
      <w:tr>
        <w:trPr>
          <w:trHeight w:val="51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</w:p>
        </w:tc>
      </w:tr>
      <w:tr>
        <w:trPr>
          <w:trHeight w:val="10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поселках,аулах (селах), аульных (сельских) округах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№ С-18/5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городском бюджете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Решение дополнено Приложением 5 в соответствии с решением Кокшетауского городского маслихата от 03.03.2009 </w:t>
      </w:r>
      <w:r>
        <w:rPr>
          <w:rFonts w:ascii="Times New Roman"/>
          <w:b w:val="false"/>
          <w:i w:val="false"/>
          <w:color w:val="000000"/>
          <w:sz w:val="28"/>
        </w:rPr>
        <w:t>№ С-21/5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Используемые остатки бюджетных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992"/>
        <w:gridCol w:w="1156"/>
        <w:gridCol w:w="1230"/>
        <w:gridCol w:w="6373"/>
        <w:gridCol w:w="2162"/>
      </w:tblGrid>
      <w:tr>
        <w:trPr>
          <w:trHeight w:val="267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ппа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ппа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грамма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24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75262,2</w:t>
            </w:r>
          </w:p>
        </w:tc>
      </w:tr>
      <w:tr>
        <w:trPr>
          <w:trHeight w:val="18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75262,2</w:t>
            </w:r>
          </w:p>
        </w:tc>
      </w:tr>
      <w:tr>
        <w:trPr>
          <w:trHeight w:val="18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75262,2</w:t>
            </w:r>
          </w:p>
        </w:tc>
      </w:tr>
      <w:tr>
        <w:trPr>
          <w:trHeight w:val="345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75262,2</w:t>
            </w:r>
          </w:p>
        </w:tc>
      </w:tr>
      <w:tr>
        <w:trPr>
          <w:trHeight w:val="18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