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e925" w14:textId="beee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октября 2008 года № А-7/443. Зарегистрировано Департаментом юстиции Акмолинской области 18 ноября 2008 года № 3284. Утратило силу - постановлением акимата Акмолинской области от 10 марта 2011 года № А-6/358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Акмолинской области от 10.03.2011 № А-6/358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июня 2007 года N 561 "Об утверждении реестра государственных услуг, оказываемых физическим и юридическим лицам"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 </w:t>
      </w:r>
      <w:r>
        <w:rPr>
          <w:rFonts w:ascii="Times New Roman"/>
          <w:b/>
          <w:i/>
          <w:color w:val="000000"/>
          <w:sz w:val="28"/>
        </w:rPr>
        <w:t xml:space="preserve">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А. 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а-7/443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"Регистрация и учет граждан, пострадавших вследствие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испытаний на Семипалатинском испытательном ядерном полигоне"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регистрации и учету граждан, пострадавших вследствие  ядерных испытаний на Семипалатинском испытательном ядерном полигоне (далее - государственная услуга). Государственная услуга осуществляется для выплаты им единовременной государственной денежной компенсации (далее - компенсация) за ущерб, причиненный ядерными испытаниями.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 Республики Казахстан от 20 февраля 2006 года N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комиссиями на предприятиях, организациях и учреждениях независимо от форм собственности, осуществляющими формирование макетов дел и приема заявлений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специальными комиссиями – это комиссии, создаваемые решениями акимов районов (городов) для регистрации и учета граждан, пострадавших вследствие ядерных испытаний на Семипалатинском испытательном ядерном полигоне. Рабочим органом специальных комиссий являются государственные учреждения "Отделы занятости и социальных программ районов, городов Кокшетау и Степногорска" (далее - Отделы). Полное наименование Отделов, место оказания услуг, электронный адрес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 является принятие решения о регистрации (отказе в регистрации) граждан Республики Казахстан, пострадавших вследствие ядерных испытаний на Семипалатинском испытательном ядерном полигоне.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следующим физическим лицам (далее - заявители):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проживавшим, работавшим или проходившим службу (в том числе срочную) на этих территориях в период проведения подземных ядерных взрывов с 1966 по 1990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проживавшим, работавшим или проходившим службу (в том числе срочную) на территории с льготным социально-экономическим статусом с 1949 по 1990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лиц, указанных во втором и третьем абзацах настоящего пункта, признанные инвалидами или имеющие заболевания, при установлении причинной связи между их состоянием здоровья и фактом пребывания одного из родителей на указанных в Законе зонах.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услуга оказывается в срок не более 20 дней с момента сдачи комиссиями сформированных макетов дел в специальную комиссию. В случаях, когда необходимо проведение дополнительных запросов, проверок сроки рассмотрения могут быть продлены не более чем на один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 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-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веб-сайтах, информационных стендах Отделов. Адреса и веб-сайты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"Арка ажары", "Акмолинская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 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Помещения Отделов имеют залы ожидания, места для заполнения документов оснащаются стендами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и копия документа, удостоверяющего личность заявителя. Оригинал документа после сверки возвращается заявителю;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подтверждающего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свидетельства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временного свидетельства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сберегательной книжки или договора с уполномоченной организацией по выдаче компенсации;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факт и период проживания на территории Семипалатинского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квартир, трудовая книжка, диплом об окончании учебного заведения, военный билет, свидетельство о рождении, аттестат о среднем образовании, свидетельство об окончании основной школы).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заявителем, заполняется заявление установленного образца, которое выдается в Отделах. Адреса Отделов указаны в приложении 1 к настоящему Стандарту. В случае невозможности личного обращения граждан о назначении компенсации, они вправе уполномочить других лиц, на основании доверенности, выданной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необходимые документы, необходимые для получения государственной услуги, сдаются в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работающими гражданами (кроме пенсионеров)- по месту основной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пенсионерами (включая работающих пенсионеров), получателями государственных специальных пособий, неработающими гражданами - в органы занятости и социальных программ. Адреса Отделов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пенсионерами органов внутренних дел, национальной безопасности, Министерства обороны Республики Казахстан и других воинских формирований - по месту назначения пенсии;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опекаемых медико-социальных учреждений, медико-социальных организаций - по месту проживания в соответствующих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отбывающих наказание в местах лишения свободы - администрациями исправительно-трудовых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фамилия и инициалы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Способ доставки результата оказания услуги - личное посещение заявителя в Отдел по месту жительства либо посредством почтового сообщения.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прав и свобод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полной и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конфиденциальность, обеспечение сохранности и защита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Отделы, контактные данные которых указаны в приложении 1 к настоящему Стандарту, в государственное учреждение "Управление координации занятости и социальных программ Акмолинской области" (далее - Управление). Наименования государственных органов, адреса электронной почты, должностные лица, которым подается жалоба, 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 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начальников Отделов, Управления и его заместителей,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координации занятости и социальных программ Акмолинской области" 020000, Республика Казахстан, Акмолинская область, город Кокшетау, улица имени А.С. Пушкина, 23, кабинет 301, веб-сайт </w:t>
      </w:r>
      <w:r>
        <w:rPr>
          <w:rFonts w:ascii="Times New Roman"/>
          <w:b w:val="false"/>
          <w:i w:val="false"/>
          <w:color w:val="000000"/>
          <w:sz w:val="28"/>
        </w:rPr>
        <w:t xml:space="preserve">www.akmo.kz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адрес электронной почты akmout@mail.online.kz, телефон 8(7162) 763690.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- понедельник,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– среда,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– четверг с 15.00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области, город Кокшетау, улица Абая, 83, веб-сайт </w:t>
      </w:r>
      <w:r>
        <w:rPr>
          <w:rFonts w:ascii="Times New Roman"/>
          <w:b w:val="false"/>
          <w:i w:val="false"/>
          <w:color w:val="000000"/>
          <w:sz w:val="28"/>
        </w:rPr>
        <w:t xml:space="preserve">www.akmo.kz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"Управление координации занятости и социальных программ Акмолинской 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районных (городских) отделов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социальных программ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2541"/>
        <w:gridCol w:w="3340"/>
        <w:gridCol w:w="2640"/>
        <w:gridCol w:w="4604"/>
      </w:tblGrid>
      <w:tr>
        <w:trPr>
          <w:trHeight w:val="21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время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Отделов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заместителей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телефон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сайт 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Аккольского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81. 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8-(71638)-2-10-48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Sobes_akkol@gcvp.kz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26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Аршалынского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 -2-13-76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Arshaly_rotz@rjrshetau.online.kz, www.akmol.kz </w:t>
            </w:r>
          </w:p>
        </w:tc>
      </w:tr>
      <w:tr>
        <w:trPr>
          <w:trHeight w:val="1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Астраханского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-2-25-34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Astr_socz@kokshetau.online.rz, www.akmol.kz 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Государственноеучреждение "Отдел занятости и социальных программ Атбасарского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Валиханова,9.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8(71643)-4-28-07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Atb_rotzisn@kokshetau.online/kz,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www.online.kz 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Буландынского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 19. 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-2-21-38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 15k@mail.kz, www.akmol.kz 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Егиндыкольского 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  Егиндыколь, улица Победы, 6. 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 -2-15-44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Egindykol_ozsp@mail.ru,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egindyk.akmol.kz </w:t>
            </w:r>
          </w:p>
        </w:tc>
      </w:tr>
      <w:tr>
        <w:trPr>
          <w:trHeight w:val="25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Енбекшильдерского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64. 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 -2-21-29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enbekrotz@mail.kz,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Ерейментауского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Кенесары, 87.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 -2-11-73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eremzsp@kokshetau.online.kz,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http://www.ereymen.kz/ </w:t>
            </w:r>
          </w:p>
        </w:tc>
      </w:tr>
      <w:tr>
        <w:trPr>
          <w:trHeight w:val="6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Есильского 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Конаева, 5. 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 -2-16-57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sobes@kokshetau.on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Жаксынского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Жаксы,улица Дружбы, 3. 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 -2-13-00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soc_zanita_21@kokshetau.online.k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www.jaksy.kz </w:t>
            </w:r>
          </w:p>
        </w:tc>
      </w:tr>
      <w:tr>
        <w:trPr>
          <w:trHeight w:val="25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Жаркаинского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 -9-17-02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Sobes_derzhavinsk@gcvp.kz,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26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Зерендинского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Зеренда,улица Мира, 64. 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 -2-11-68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zer_cz@kokshetau.online.kz,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byx@kokshetay.online.kz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Коргалжынского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Балгамбаева 9. 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 -2-11-83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kszn@kokshetau.online.kz, http://akmol.kz/admin.html 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Сандыктауского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Ленина, 117. График приема граждан: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 -9-17-43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Sondyktau_OZSP@kokshetau.online.kz, www.sand.akmol.kz 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Целиноградского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 -3-11-10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Otdel_zan@mail.kz, www.akmol.kz 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Шортандинского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Абылай – хана, 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 -2-19-75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shortsobez@mail.ru, www.akmol.kz 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Щучинского района"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улица 8 марта,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 -4-27-68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depart@kokshetau.online.kz,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www.burabau-akimat.kz 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г.Степногорск"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  Степногорск, 4 микрорайон. 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 6-26-33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6-20-30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soc-progr@yandex.ru,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9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город Кокшетау"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Локомотивная, 9а. График приема граждан: ежедневно с 9.00 до 18.00 часов, перерыв: с 13.00 до 14.00 часов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-31-92-76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31-92-81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sobes_kokshe@kokshetau.online.kz,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http://www.zakupki.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2"/>
        <w:gridCol w:w="2583"/>
        <w:gridCol w:w="2822"/>
        <w:gridCol w:w="2563"/>
      </w:tblGrid>
      <w:tr>
        <w:trPr>
          <w:trHeight w:val="1830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1005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1.1.% (доля) случаев предоставления услуги в установленный срок с момента сдачи документа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975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1.2.% (доля) потребителей, ожидавших получения услуги в очереди не более 40 минут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765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2025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1125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345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%(доля) случаев правильно заполненных потребителем документов и сданных с первого раза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630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1125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 </w:t>
            </w:r>
          </w:p>
        </w:tc>
      </w:tr>
      <w:tr>
        <w:trPr>
          <w:trHeight w:val="1035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945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4.3.% (доля) потребителей, удовлетворенных существующим порядком обжалования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630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5.Вежливость </w:t>
            </w:r>
          </w:p>
        </w:tc>
      </w:tr>
      <w:tr>
        <w:trPr>
          <w:trHeight w:val="690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