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e9cc" w14:textId="6a4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А-6/341. Зарегистрировано департаментом юстиции Акмолинской области 12 сентября 2008 года N 3272.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стандарт оказания государственной услуги "Оформление документов для материального обеспечения детей-инвалидов, обучающихся и воспитывающихся на дому".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N А-6/341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материального обеспечения детей-инвалидов, </w:t>
      </w:r>
      <w:r>
        <w:rPr>
          <w:rFonts w:ascii="Times New Roman"/>
          <w:b/>
          <w:i w:val="false"/>
          <w:color w:val="000080"/>
          <w:sz w:val="28"/>
        </w:rPr>
        <w:t xml:space="preserve">обучающихся и воспитывающихся на дому"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оформлению документов для материального обеспечения детей-инвалидов, обучающихся и воспитывающихся на дому (далее-государственная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6 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занятости и социальных программ районов, городов Кокшетау, Степногорска" (далее по тексту - Отделы). Полное наименование Отделов, их адреса и веб-сайты указаны в 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решение о материальном обеспечении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родителям (законным представителям), имеющим детей-инвалидов, обучающихся и воспитывающихся на дому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- 10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документов не должно превышать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должно превышать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Отделов, имеют зал ожидания, места для заполнения документов,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акимата Акмолинской области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А-9/574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детей-инвалидов, не достигших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личности для детей-инвалидов в возрасте с 16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книга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медико-социальной экспертной комиссии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психолого-медико-педагогической консультации о необходимости воспитания и обучения ребенка-инвалида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удостоверяющий личность родителя, усыновителя (удочерителя), опекуна (попечителя) иного законного представителя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получения государственной услуги предоставляются в копиях и подлинниках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постановлением акимата Акмолинской области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А-9/574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  необходимо заполнить бланк заявления, которое выдается в Отделах.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документы, необходимые для получения государственной услуги сдаются в Отдел по месту жительства заявителя.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отрывной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 либо посредством почтового сообщения.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случае отсутствия одного из требуемых документов перечисленных в пункте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 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 - Управление). Наименования Отделов, адреса электронной почты должностных лиц,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 область, город Кокшетау, улица имени А.С. Пушкина, 23, кабинет 301, веб-сайт www.akmo.kz,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380"/>
        <w:gridCol w:w="1844"/>
        <w:gridCol w:w="2946"/>
        <w:gridCol w:w="6314"/>
      </w:tblGrid>
      <w:tr>
        <w:trPr>
          <w:trHeight w:val="21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(городских)отделов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http://www.ereymen.kz/ 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www.burabau-akimat.kz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г.Степногорск"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soc-progr@yandex.ru,www.akmol.kz 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sobes_kokshe@kokshetau.online.kz,http://www.zakupki.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53"/>
        <w:gridCol w:w="2453"/>
        <w:gridCol w:w="215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