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9a4c" w14:textId="7439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№ 103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Астаны от 12 сентября 2008 года N 67 и решение маслихата города Астаны от 22 сентября 2008 года N 148/23-IV. Зарегистрировано Департаментом юстиции города Астаны 8 октября 2008 года N 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учитывая мнение населения города, на основании решения городской ономастической комиссии от 4 марта 2008 года № 26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улице № 103 имя Тараса Шевченко.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района "Сарыарка" города Астаны, Государственному учреждению "Управление архитектуры и градостроительства города Астаны" принять необходимые меры по реализации данных постановления и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постановление акимата города Астаны и решение маслихата города Астаны вводятся в действие по истечении десяти календарных дней после дня их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И. Тасмагамбетов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Анасова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