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e72f" w14:textId="ddee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ставок ежемесячной платы за размещение наружной (визуальной) рекламы на территории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18 августа 2008 года N 137/21-IV. Зарегистрировано Департаментом юстиции города Астаны 22 сентября 2008 года N 548. Утратило силу решением маслихата города Астаны от 29 января 2009 года N 181/30-IV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решением маслихата города Астаны от 29 января 2009 года N 181/30-IV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статьями 489 </w:t>
      </w:r>
      <w:r>
        <w:rPr>
          <w:rFonts w:ascii="Times New Roman"/>
          <w:b w:val="false"/>
          <w:i w:val="false"/>
          <w:color w:val="000000"/>
          <w:sz w:val="28"/>
        </w:rPr>
        <w:t>
-
</w:t>
      </w:r>
      <w:r>
        <w:rPr>
          <w:rFonts w:ascii="Times New Roman"/>
          <w:b w:val="false"/>
          <w:i w:val="false"/>
          <w:color w:val="000000"/>
          <w:sz w:val="28"/>
        </w:rPr>
        <w:t xml:space="preserve"> 492 </w:t>
      </w:r>
      <w:r>
        <w:rPr>
          <w:rFonts w:ascii="Times New Roman"/>
          <w:b w:val="false"/>
          <w:i w:val="false"/>
          <w:color w:val="000000"/>
          <w:sz w:val="28"/>
        </w:rPr>
        <w:t>
 Кодекса Республики Казахстан от 12 июня 2001 года "О налогах и других обязательных платежах в бюджет (Налоговый кодекс)", маслихат города Астаны 
</w:t>
      </w:r>
      <w:r>
        <w:rPr>
          <w:rFonts w:ascii="Times New Roman"/>
          <w:b/>
          <w:i w:val="false"/>
          <w:color w:val="000000"/>
          <w:sz w:val="28"/>
        </w:rPr>
        <w:t>
РЕШИЛ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 Утвердить прилагаемые ставки ежемесячной платы за размещение наружной (визуальной) рекламы по городу Астане.
</w:t>
      </w:r>
      <w:r>
        <w:br/>
      </w:r>
      <w:r>
        <w:rPr>
          <w:rFonts w:ascii="Times New Roman"/>
          <w:b w:val="false"/>
          <w:i w:val="false"/>
          <w:color w:val="000000"/>
          <w:sz w:val="28"/>
        </w:rPr>
        <w:t>
</w:t>
      </w:r>
      <w:r>
        <w:rPr>
          <w:rFonts w:ascii="Times New Roman"/>
          <w:b w:val="false"/>
          <w:i w:val="false"/>
          <w:color w:val="000000"/>
          <w:sz w:val="28"/>
        </w:rPr>
        <w:t>
      2. Считать утратившим силу 
</w:t>
      </w:r>
      <w:r>
        <w:rPr>
          <w:rFonts w:ascii="Times New Roman"/>
          <w:b w:val="false"/>
          <w:i w:val="false"/>
          <w:color w:val="000000"/>
          <w:sz w:val="28"/>
        </w:rPr>
        <w:t xml:space="preserve"> решение </w:t>
      </w:r>
      <w:r>
        <w:rPr>
          <w:rFonts w:ascii="Times New Roman"/>
          <w:b w:val="false"/>
          <w:i w:val="false"/>
          <w:color w:val="000000"/>
          <w:sz w:val="28"/>
        </w:rPr>
        <w:t>
 маслихата города Астаны от 5 марта 2002 года №1 49/29-II "Об установлении ставок платы за размещение наружной (визуальной) рекламы" (зарегистрировано в Реестре государственной регистрации нормативных правовых актов 18 марта 2002 года за № 178, опубликовано в газете "Вечерняя Астана" № 36 от 30 марта 2002 года).
</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города Астаны
</w:t>
      </w:r>
      <w:r>
        <w:rPr>
          <w:rFonts w:ascii="Times New Roman"/>
          <w:b w:val="false"/>
          <w:i w:val="false"/>
          <w:color w:val="000000"/>
          <w:sz w:val="28"/>
        </w:rPr>
        <w:t>
</w:t>
      </w:r>
      <w:r>
        <w:rPr>
          <w:rFonts w:ascii="Times New Roman"/>
          <w:b w:val="false"/>
          <w:i/>
          <w:color w:val="000000"/>
          <w:sz w:val="28"/>
        </w:rPr>
        <w:t>
К. Анасова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w:t>
      </w:r>
      <w:r>
        <w:rPr>
          <w:rFonts w:ascii="Times New Roman"/>
          <w:b w:val="false"/>
          <w:i w:val="false"/>
          <w:color w:val="000000"/>
          <w:sz w:val="28"/>
        </w:rPr>
        <w:t>
</w:t>
      </w:r>
      <w:r>
        <w:rPr>
          <w:rFonts w:ascii="Times New Roman"/>
          <w:b w:val="false"/>
          <w:i/>
          <w:color w:val="000000"/>
          <w:sz w:val="28"/>
        </w:rPr>
        <w:t>
В. Редкокашин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решением маслихата     
</w:t>
      </w:r>
      <w:r>
        <w:br/>
      </w:r>
      <w:r>
        <w:rPr>
          <w:rFonts w:ascii="Times New Roman"/>
          <w:b w:val="false"/>
          <w:i w:val="false"/>
          <w:color w:val="000000"/>
          <w:sz w:val="28"/>
        </w:rPr>
        <w:t>
города Астаны          
</w:t>
      </w:r>
      <w:r>
        <w:br/>
      </w:r>
      <w:r>
        <w:rPr>
          <w:rFonts w:ascii="Times New Roman"/>
          <w:b w:val="false"/>
          <w:i w:val="false"/>
          <w:color w:val="000000"/>
          <w:sz w:val="28"/>
        </w:rPr>
        <w:t>
от 18 августа 2008 года
</w:t>
      </w:r>
      <w:r>
        <w:br/>
      </w:r>
      <w:r>
        <w:rPr>
          <w:rFonts w:ascii="Times New Roman"/>
          <w:b w:val="false"/>
          <w:i w:val="false"/>
          <w:color w:val="000000"/>
          <w:sz w:val="28"/>
        </w:rPr>
        <w:t>
№ 137/21-IV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ежемесячной платы за размещение наружной (визуальной) рекламы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территории города Астаны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5043"/>
        <w:gridCol w:w="1588"/>
        <w:gridCol w:w="1468"/>
        <w:gridCol w:w="1508"/>
        <w:gridCol w:w="1711"/>
      </w:tblGrid>
      <w:tr>
        <w:trPr>
          <w:trHeight w:val="330" w:hRule="atLeast"/>
        </w:trPr>
        <w:tc>
          <w:tcPr>
            <w:tcW w:w="9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п/п
</w:t>
            </w:r>
          </w:p>
        </w:tc>
        <w:tc>
          <w:tcPr>
            <w:tcW w:w="504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Вид рекламного объекта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Ставки платы в месяц 
</w:t>
            </w:r>
            <w:r>
              <w:br/>
            </w:r>
            <w:r>
              <w:rPr>
                <w:rFonts w:ascii="Times New Roman"/>
                <w:b w:val="false"/>
                <w:i w:val="false"/>
                <w:color w:val="000000"/>
                <w:sz w:val="20"/>
              </w:rPr>
              <w:t>
(в месячных расчетных
</w:t>
            </w:r>
            <w:r>
              <w:br/>
            </w:r>
            <w:r>
              <w:rPr>
                <w:rFonts w:ascii="Times New Roman"/>
                <w:b w:val="false"/>
                <w:i w:val="false"/>
                <w:color w:val="000000"/>
                <w:sz w:val="20"/>
              </w:rPr>
              <w:t>
показателях)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Кате-
</w:t>
            </w:r>
            <w:r>
              <w:br/>
            </w:r>
            <w:r>
              <w:rPr>
                <w:rFonts w:ascii="Times New Roman"/>
                <w:b w:val="false"/>
                <w:i w:val="false"/>
                <w:color w:val="000000"/>
                <w:sz w:val="20"/>
              </w:rPr>
              <w:t>
гория
</w:t>
            </w:r>
            <w:r>
              <w:br/>
            </w:r>
            <w:r>
              <w:rPr>
                <w:rFonts w:ascii="Times New Roman"/>
                <w:b w:val="false"/>
                <w:i w:val="false"/>
                <w:color w:val="000000"/>
                <w:sz w:val="20"/>
              </w:rPr>
              <w:t>
"А"
</w:t>
            </w:r>
          </w:p>
        </w:tc>
        <w:tc>
          <w:tcPr>
            <w:tcW w:w="1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Кате-
</w:t>
            </w:r>
            <w:r>
              <w:br/>
            </w:r>
            <w:r>
              <w:rPr>
                <w:rFonts w:ascii="Times New Roman"/>
                <w:b w:val="false"/>
                <w:i w:val="false"/>
                <w:color w:val="000000"/>
                <w:sz w:val="20"/>
              </w:rPr>
              <w:t>
гория
</w:t>
            </w:r>
            <w:r>
              <w:br/>
            </w:r>
            <w:r>
              <w:rPr>
                <w:rFonts w:ascii="Times New Roman"/>
                <w:b w:val="false"/>
                <w:i w:val="false"/>
                <w:color w:val="000000"/>
                <w:sz w:val="20"/>
              </w:rPr>
              <w:t>
"В"
</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Кате-
</w:t>
            </w:r>
            <w:r>
              <w:br/>
            </w:r>
            <w:r>
              <w:rPr>
                <w:rFonts w:ascii="Times New Roman"/>
                <w:b w:val="false"/>
                <w:i w:val="false"/>
                <w:color w:val="000000"/>
                <w:sz w:val="20"/>
              </w:rPr>
              <w:t>
гория
</w:t>
            </w:r>
            <w:r>
              <w:br/>
            </w:r>
            <w:r>
              <w:rPr>
                <w:rFonts w:ascii="Times New Roman"/>
                <w:b w:val="false"/>
                <w:i w:val="false"/>
                <w:color w:val="000000"/>
                <w:sz w:val="20"/>
              </w:rPr>
              <w:t>
"С"
</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Кате-
</w:t>
            </w:r>
            <w:r>
              <w:br/>
            </w:r>
            <w:r>
              <w:rPr>
                <w:rFonts w:ascii="Times New Roman"/>
                <w:b w:val="false"/>
                <w:i w:val="false"/>
                <w:color w:val="000000"/>
                <w:sz w:val="20"/>
              </w:rPr>
              <w:t>
гория
</w:t>
            </w:r>
            <w:r>
              <w:br/>
            </w:r>
            <w:r>
              <w:rPr>
                <w:rFonts w:ascii="Times New Roman"/>
                <w:b w:val="false"/>
                <w:i w:val="false"/>
                <w:color w:val="000000"/>
                <w:sz w:val="20"/>
              </w:rPr>
              <w:t>
"Д"
</w:t>
            </w:r>
          </w:p>
        </w:tc>
      </w:tr>
      <w:tr>
        <w:trPr>
          <w:trHeight w:val="12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5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Рекламно-информационные
</w:t>
            </w:r>
            <w:r>
              <w:br/>
            </w:r>
            <w:r>
              <w:rPr>
                <w:rFonts w:ascii="Times New Roman"/>
                <w:b w:val="false"/>
                <w:i w:val="false"/>
                <w:color w:val="000000"/>
                <w:sz w:val="20"/>
              </w:rPr>
              <w:t>
объекты площадью
</w:t>
            </w:r>
            <w:r>
              <w:br/>
            </w:r>
            <w:r>
              <w:rPr>
                <w:rFonts w:ascii="Times New Roman"/>
                <w:b w:val="false"/>
                <w:i w:val="false"/>
                <w:color w:val="000000"/>
                <w:sz w:val="20"/>
              </w:rPr>
              <w:t>
до 3 кв. метров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c>
          <w:tcPr>
            <w:tcW w:w="1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r>
      <w:tr>
        <w:trPr>
          <w:trHeight w:val="12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c>
          <w:tcPr>
            <w:tcW w:w="5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Рекламно-информационные
</w:t>
            </w:r>
            <w:r>
              <w:br/>
            </w:r>
            <w:r>
              <w:rPr>
                <w:rFonts w:ascii="Times New Roman"/>
                <w:b w:val="false"/>
                <w:i w:val="false"/>
                <w:color w:val="000000"/>
                <w:sz w:val="20"/>
              </w:rPr>
              <w:t>
объекты площадью от 3
</w:t>
            </w:r>
            <w:r>
              <w:br/>
            </w:r>
            <w:r>
              <w:rPr>
                <w:rFonts w:ascii="Times New Roman"/>
                <w:b w:val="false"/>
                <w:i w:val="false"/>
                <w:color w:val="000000"/>
                <w:sz w:val="20"/>
              </w:rPr>
              <w:t>
до 15 кв. метров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w:t>
            </w:r>
          </w:p>
        </w:tc>
        <w:tc>
          <w:tcPr>
            <w:tcW w:w="1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p>
        </w:tc>
      </w:tr>
      <w:tr>
        <w:trPr>
          <w:trHeight w:val="12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p>
        </w:tc>
        <w:tc>
          <w:tcPr>
            <w:tcW w:w="5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Рекламно-информационные
</w:t>
            </w:r>
            <w:r>
              <w:br/>
            </w:r>
            <w:r>
              <w:rPr>
                <w:rFonts w:ascii="Times New Roman"/>
                <w:b w:val="false"/>
                <w:i w:val="false"/>
                <w:color w:val="000000"/>
                <w:sz w:val="20"/>
              </w:rPr>
              <w:t>
объекты площадью от 15
</w:t>
            </w:r>
            <w:r>
              <w:br/>
            </w:r>
            <w:r>
              <w:rPr>
                <w:rFonts w:ascii="Times New Roman"/>
                <w:b w:val="false"/>
                <w:i w:val="false"/>
                <w:color w:val="000000"/>
                <w:sz w:val="20"/>
              </w:rPr>
              <w:t>
до 30 кв. метров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w:t>
            </w:r>
          </w:p>
        </w:tc>
        <w:tc>
          <w:tcPr>
            <w:tcW w:w="1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w:t>
            </w:r>
          </w:p>
        </w:tc>
      </w:tr>
      <w:tr>
        <w:trPr>
          <w:trHeight w:val="12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w:t>
            </w:r>
          </w:p>
        </w:tc>
        <w:tc>
          <w:tcPr>
            <w:tcW w:w="5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Рекламно-информационные
</w:t>
            </w:r>
            <w:r>
              <w:br/>
            </w:r>
            <w:r>
              <w:rPr>
                <w:rFonts w:ascii="Times New Roman"/>
                <w:b w:val="false"/>
                <w:i w:val="false"/>
                <w:color w:val="000000"/>
                <w:sz w:val="20"/>
              </w:rPr>
              <w:t>
объекты площадью от 30
</w:t>
            </w:r>
            <w:r>
              <w:br/>
            </w:r>
            <w:r>
              <w:rPr>
                <w:rFonts w:ascii="Times New Roman"/>
                <w:b w:val="false"/>
                <w:i w:val="false"/>
                <w:color w:val="000000"/>
                <w:sz w:val="20"/>
              </w:rPr>
              <w:t>
до 70 кв. метров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
</w:t>
            </w:r>
          </w:p>
        </w:tc>
        <w:tc>
          <w:tcPr>
            <w:tcW w:w="1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w:t>
            </w:r>
          </w:p>
        </w:tc>
      </w:tr>
      <w:tr>
        <w:trPr>
          <w:trHeight w:val="12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w:t>
            </w:r>
          </w:p>
        </w:tc>
        <w:tc>
          <w:tcPr>
            <w:tcW w:w="5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Рекламно-информационные
</w:t>
            </w:r>
            <w:r>
              <w:br/>
            </w:r>
            <w:r>
              <w:rPr>
                <w:rFonts w:ascii="Times New Roman"/>
                <w:b w:val="false"/>
                <w:i w:val="false"/>
                <w:color w:val="000000"/>
                <w:sz w:val="20"/>
              </w:rPr>
              <w:t>
объекты площадью от 70
</w:t>
            </w:r>
            <w:r>
              <w:br/>
            </w:r>
            <w:r>
              <w:rPr>
                <w:rFonts w:ascii="Times New Roman"/>
                <w:b w:val="false"/>
                <w:i w:val="false"/>
                <w:color w:val="000000"/>
                <w:sz w:val="20"/>
              </w:rPr>
              <w:t>
до 100 кв. метров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
</w:t>
            </w:r>
          </w:p>
        </w:tc>
        <w:tc>
          <w:tcPr>
            <w:tcW w:w="1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
</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w:t>
            </w:r>
          </w:p>
        </w:tc>
      </w:tr>
      <w:tr>
        <w:trPr>
          <w:trHeight w:val="12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w:t>
            </w:r>
          </w:p>
        </w:tc>
        <w:tc>
          <w:tcPr>
            <w:tcW w:w="5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Рекламно-информационные
</w:t>
            </w:r>
            <w:r>
              <w:br/>
            </w:r>
            <w:r>
              <w:rPr>
                <w:rFonts w:ascii="Times New Roman"/>
                <w:b w:val="false"/>
                <w:i w:val="false"/>
                <w:color w:val="000000"/>
                <w:sz w:val="20"/>
              </w:rPr>
              <w:t>
объекты площадью от 100
</w:t>
            </w:r>
            <w:r>
              <w:br/>
            </w:r>
            <w:r>
              <w:rPr>
                <w:rFonts w:ascii="Times New Roman"/>
                <w:b w:val="false"/>
                <w:i w:val="false"/>
                <w:color w:val="000000"/>
                <w:sz w:val="20"/>
              </w:rPr>
              <w:t>
до 200 кв. метров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
</w:t>
            </w:r>
          </w:p>
        </w:tc>
        <w:tc>
          <w:tcPr>
            <w:tcW w:w="1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
</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
</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w:t>
            </w:r>
          </w:p>
        </w:tc>
      </w:tr>
      <w:tr>
        <w:trPr>
          <w:trHeight w:val="55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
</w:t>
            </w:r>
          </w:p>
        </w:tc>
        <w:tc>
          <w:tcPr>
            <w:tcW w:w="5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Рекламно-информационные
</w:t>
            </w:r>
            <w:r>
              <w:br/>
            </w:r>
            <w:r>
              <w:rPr>
                <w:rFonts w:ascii="Times New Roman"/>
                <w:b w:val="false"/>
                <w:i w:val="false"/>
                <w:color w:val="000000"/>
                <w:sz w:val="20"/>
              </w:rPr>
              <w:t>
объекты площадью свыше
</w:t>
            </w:r>
            <w:r>
              <w:br/>
            </w:r>
            <w:r>
              <w:rPr>
                <w:rFonts w:ascii="Times New Roman"/>
                <w:b w:val="false"/>
                <w:i w:val="false"/>
                <w:color w:val="000000"/>
                <w:sz w:val="20"/>
              </w:rPr>
              <w:t>
200 кв. метров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
</w:t>
            </w:r>
          </w:p>
        </w:tc>
        <w:tc>
          <w:tcPr>
            <w:tcW w:w="1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
</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
</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
</w:t>
            </w:r>
          </w:p>
        </w:tc>
      </w:tr>
      <w:tr>
        <w:trPr>
          <w:trHeight w:val="55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w:t>
            </w:r>
          </w:p>
        </w:tc>
        <w:tc>
          <w:tcPr>
            <w:tcW w:w="5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Световое табло (экран)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
</w:t>
            </w:r>
          </w:p>
        </w:tc>
        <w:tc>
          <w:tcPr>
            <w:tcW w:w="1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
</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
</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
</w:t>
            </w:r>
          </w:p>
        </w:tc>
      </w:tr>
      <w:tr>
        <w:trPr>
          <w:trHeight w:val="555"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
</w:t>
            </w:r>
          </w:p>
        </w:tc>
        <w:tc>
          <w:tcPr>
            <w:tcW w:w="5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Крышные установки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w:t>
            </w:r>
          </w:p>
        </w:tc>
        <w:tc>
          <w:tcPr>
            <w:tcW w:w="1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w:t>
            </w:r>
          </w:p>
        </w:tc>
      </w:tr>
      <w:tr>
        <w:trPr>
          <w:trHeight w:val="600" w:hRule="atLeast"/>
        </w:trPr>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w:t>
            </w:r>
          </w:p>
        </w:tc>
        <w:tc>
          <w:tcPr>
            <w:tcW w:w="5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Выносные рекламные
</w:t>
            </w:r>
            <w:r>
              <w:br/>
            </w:r>
            <w:r>
              <w:rPr>
                <w:rFonts w:ascii="Times New Roman"/>
                <w:b w:val="false"/>
                <w:i w:val="false"/>
                <w:color w:val="000000"/>
                <w:sz w:val="20"/>
              </w:rPr>
              <w:t>
конструкции (штендеры)
</w:t>
            </w:r>
          </w:p>
        </w:tc>
        <w:tc>
          <w:tcPr>
            <w:tcW w:w="1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Примечание:
</w:t>
      </w:r>
      <w:r>
        <w:br/>
      </w:r>
      <w:r>
        <w:rPr>
          <w:rFonts w:ascii="Times New Roman"/>
          <w:b w:val="false"/>
          <w:i w:val="false"/>
          <w:color w:val="000000"/>
          <w:sz w:val="28"/>
        </w:rPr>
        <w:t>
      1. Ставки платы исчисляются из размера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2. Не являются плательщиками платы государственные органы Республики Казахстан по объектам наружной (визуальной) рекламы размещаемой в связи с реализацей ими своих функций.
</w:t>
      </w:r>
      <w:r>
        <w:br/>
      </w:r>
      <w:r>
        <w:rPr>
          <w:rFonts w:ascii="Times New Roman"/>
          <w:b w:val="false"/>
          <w:i w:val="false"/>
          <w:color w:val="000000"/>
          <w:sz w:val="28"/>
        </w:rPr>
        <w:t>
</w:t>
      </w:r>
      <w:r>
        <w:rPr>
          <w:rFonts w:ascii="Times New Roman"/>
          <w:b w:val="false"/>
          <w:i w:val="false"/>
          <w:color w:val="000000"/>
          <w:sz w:val="28"/>
        </w:rPr>
        <w:t>
      3. Перечень основных площадей и магистралей города Астаны по категориям:
</w:t>
      </w:r>
      <w:r>
        <w:br/>
      </w:r>
      <w:r>
        <w:rPr>
          <w:rFonts w:ascii="Times New Roman"/>
          <w:b w:val="false"/>
          <w:i w:val="false"/>
          <w:color w:val="000000"/>
          <w:sz w:val="28"/>
        </w:rPr>
        <w:t>
</w:t>
      </w:r>
      <w:r>
        <w:rPr>
          <w:rFonts w:ascii="Times New Roman"/>
          <w:b w:val="false"/>
          <w:i w:val="false"/>
          <w:color w:val="000000"/>
          <w:sz w:val="28"/>
        </w:rPr>
        <w:t>
      Категория "А": трасса на аэропорт (начиная от аэропорта до кольца шоссе Каркаралы), шоссе Каркаралы (начиная от кольца до проспекта Кабанбай батыра), проспект Кабанбай батыра, все улицы нового административного центра города, проспект Сарыарка (начиная с левого берега до улицы Кенесары), проспект Республики (от начала проспекта Республики до улицы Сейфуллина), улица Кенесары (от проспекта Сарыарка до улицы Торайғырова);
</w:t>
      </w:r>
      <w:r>
        <w:br/>
      </w:r>
      <w:r>
        <w:rPr>
          <w:rFonts w:ascii="Times New Roman"/>
          <w:b w:val="false"/>
          <w:i w:val="false"/>
          <w:color w:val="000000"/>
          <w:sz w:val="28"/>
        </w:rPr>
        <w:t>
</w:t>
      </w:r>
      <w:r>
        <w:rPr>
          <w:rFonts w:ascii="Times New Roman"/>
          <w:b w:val="false"/>
          <w:i w:val="false"/>
          <w:color w:val="000000"/>
          <w:sz w:val="28"/>
        </w:rPr>
        <w:t>
      Категория "В": проспект Республики (от улицы Сейфуллина до улицы Гете), улица Бараева, улица Ташенова, проспект Манаса, проспект Абылай хана, улица Б.Момышулы, проспект Жеңіс, проспект Абая, улица Сейфуллина, улица Бейбитшілік;
</w:t>
      </w:r>
      <w:r>
        <w:br/>
      </w:r>
      <w:r>
        <w:rPr>
          <w:rFonts w:ascii="Times New Roman"/>
          <w:b w:val="false"/>
          <w:i w:val="false"/>
          <w:color w:val="000000"/>
          <w:sz w:val="28"/>
        </w:rPr>
        <w:t>
</w:t>
      </w:r>
      <w:r>
        <w:rPr>
          <w:rFonts w:ascii="Times New Roman"/>
          <w:b w:val="false"/>
          <w:i w:val="false"/>
          <w:color w:val="000000"/>
          <w:sz w:val="28"/>
        </w:rPr>
        <w:t>
      Категория "С": шоссе Алаш, Карагандинская трасса, проспект Н. Тлендиева, проспект Богенбай батыра, улица Мунайтпасова, улица Можайского, улица Валиханова, улица Иманова, улица Пушкина, улица Қажымұқана, улица Майлина, улица Есенберлина, улица Биржан Сала, район вокзала;
</w:t>
      </w:r>
      <w:r>
        <w:br/>
      </w:r>
      <w:r>
        <w:rPr>
          <w:rFonts w:ascii="Times New Roman"/>
          <w:b w:val="false"/>
          <w:i w:val="false"/>
          <w:color w:val="000000"/>
          <w:sz w:val="28"/>
        </w:rPr>
        <w:t>
</w:t>
      </w:r>
      <w:r>
        <w:rPr>
          <w:rFonts w:ascii="Times New Roman"/>
          <w:b w:val="false"/>
          <w:i w:val="false"/>
          <w:color w:val="000000"/>
          <w:sz w:val="28"/>
        </w:rPr>
        <w:t>
      Категория "Д": остальная часть города, не вошедшая в Категории "А", "В", "С".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