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2698" w14:textId="fec2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"Регистрация и учет граждан, пострадавших вследствие ядерных испытаний на Семипалатинском испытательном ядерном полигоне"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13 марта 2008 года N 23-298п. Зарегистрировано Департаментом юстиции города Астаны 31 марта 2008 года N 520.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26.03.2009 N 06-285п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"Регистрация и учет граждан, пострадавших вследствие ядерных испытаний на Семипалатинском испытательном ядерном полигоне" (далее - государственная услуга), предоставляемой Департаментом занятости и социальных программ города Астаны (далее - Департамент).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обеспечить государственную регистрацию данного постановления в органах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Султанова Е.Х.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2008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23-298п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"Регистрация и учет граждан, пострадавших вследствие ядерных испытаний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Семипалатинском испытательном ядерном полигоне"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регистрации и учету граждан, пострадавших вследствие ядерных испытаний на Семипалатинском испытательном ядерном полигоне (далее - государственная услуга).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пострадавшим вследствие ядерных испытаний на Семипалатинском испытательном ядерном полигоне относятся граждане, проживающие, проживавшие, работавшие или проходившие службу (в т.ч. срочную) на территориях, подвергшихся радиоактивному загрязнению с 1949 по 1965, с 1966 по 1990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12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февраля 2006 года N 110 "О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зависимости от категории обращающихся граждан - юридическим отделом, отделом по работе с ветеранами и инвалидами, отделом содействия трудоустройству безработных Государственного учреждения "Департамент занятости и социальных программ города Астаны" (далее - Департамент), город Астана, улица Иманбаевой, 68 а, кабинеты 3, 4, 9 (в зависимости от категории граждан).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о признании либо об отказе в признании гражданина пострадавшим вследствие ядеpных испытаний на Семипалатинском испытательном ядеpном полигоне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письменное уведомление о признании либо об отказе в признании гражданина пострадавшим, вследствие ядеpных испытаний на Семипалатинском испытательном ядеpном полигоне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макета дел граждан, признанных пострадавшими вследствие ядеpных испытаний на Семипалатинском испытательном ядеpном полигоне, в РГКП "Государственный центр по выплате пенсий по городу Астане" Министерства труда и социальной защиты Республики Казахстан (далее - ГЦВП).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гражданам, проживавшим, работавшим или проходившим службу с 1949 по 1990 годы на территориях, относящихся к зонам чрезвычайного, максимального, повышенного и минимального радиационного риска, а также на территории с льготным социально-экономическим статусом (далее - потребители).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специальной комиссии о признании либо от отказе в признании гражданина пострадавшим вследствие ядеpных испытаний на Семипалатинском испытательном ядеpном полигоне принимается в срок не более двадцати дней с момента сдачи документов, а в случаях, когда необходимо проведение дополнительных запросов, проверок, сроки рассмотрения специальными комиссиями макетов дел могут быть продлены ее председателем, но не более чем на один месяц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10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11 </w:t>
      </w:r>
      <w:r>
        <w:rPr>
          <w:rFonts w:ascii="Times New Roman"/>
          <w:b w:val="false"/>
          <w:i w:val="false"/>
          <w:color w:val="000000"/>
          <w:sz w:val="28"/>
        </w:rPr>
        <w:t>
 постановления Правительства РК от 20 февраля 2006 года N 110 "О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- 30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не требуется, т.к. уведомление направляется в письменной форме по почтовой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бесплатное.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размещается в официальных источниках информации, на стендах, расположенных в фойе Департамента, а также сайте Акима города Астаны: www.astana.kz.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за исключением субботы, воскресенья и праздничных дней с 9.00 часов до 18.00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9.00 часов до 13.00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предварительная запись и ускоренное обслуживание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кабинете 3 Департамента в зависимости от района проживания. Имеются стенды с образцами заявлений и перечнем необходимых документов, имеются места для ожидания, здание оборудовано пандусом для лиц с ограниченными возможностями.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 (в оригиналах и копиях):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книга регистрации граждан или справка с адресного бюро (адресное бюро находится по адресу: город Астана, улица Иманова, 7, график работы: ежедневно с 9.00 до 19.00 часов, обеденный перерыв с 13.00 до 15.00 часов, суббота - с 9.00 до 13.00 часов, воскресенье - выходной);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факт и период проживания на загрязненной территории (свидетельство о рождении, аттестат о среднем образовании, свидетельство об окончании основной школы, диплом об окончании учебного заведения, военный билет, трудовая книжка, архивные справки, справки сельских, поселковых (аульных) Советов народных депутатов, жилищно-эксплуатационных управлений, домоуправлений, акимов поселка, аула (села), аульного (сельского) округа, кооперативов собственников квартир);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социальный индивидуальный код (СИК);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регистрационный номер налогоплательщика (РНН);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 о наличии счета в банке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формы заявлений для оказания государственной услуги - здание Департамента, город Астана, улица Иманбаевой, 68 а, кабинеты 3, 4, 9 (в зависимости от категории обращающихся граждан).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сдаются в зависимости от категории обращающихся граждан - в юридический отдел, отдел по работе с ветеранами и инвалидами, отдел содействия трудоустройству безработных Департамента, по адресу: город Астана, улица Иманбаевой, 68 а, кабинеты 3, 4, 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Фактом подтверждения принятия макетов дел (документов) является список граждан, сдавших макеты дел, с указанием даты приема документов (для работающих граждан)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стандарту, для неработающих граждан и получателей пенсий и пособий - подпись специалиста, принявшего документы, расположенной в нижней части заявления (отрывной талон), который остается у потребителя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государственной услуги - решение специальной комиссии по регистрации и учету граждан, пострадавших вследствие ядерных испытаний на Семипалатинском испытательном ядерном полигоне (далее - специальная комиссия).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отдел (3 кабинет) Департамента, рабочего органа городской специальной комиссии, в произвольной письменной форме всем юридическим и физическим лицам, представившим макеты дел (документы), направляет уведомления о решении специальной комиссии посредством почтовой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 установление факта выплаты единовременной денежной компенсации гражданам, пострадавшим вследствие ядерных испытаний на Семипалатинском испытательном ядерном полигоне.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Департамента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неукоснительного соблюдения государственной и трудовой дисциплины;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полной информации об оказываемой государственной услуге;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вежливости и корректности.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5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обжаловать действия (бездействия) уполномоченных должностных лиц потребитель может обратиться в Департамент, город Астана, улица Иманбаевой, 68 а, кабинеты 3, 4, 9 (в зависимости от категории граждан), начальники отделов, телефоны: 21-11-60, 21-09-48, 21-03-37, электронный адрес: deptrud@at.kz.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через канцелярию Департамента, по адресу: город Астана, улица Иманбаевой 68 а, кабинет 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 deptrud@at.kz.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Начальники отделов (в зависимости от категорий граждан), телефоны: 21-11-60, 21-09-48, 21-03-37, кабинеты 3, 4, 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Департамента, кабинет 25, телефон: 21-91-67.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потребитель не будет удовлетворен принятыми мерами или вопрос требует рассмотрения вышестоящей инстанцией, он может направить жалобу письменно заместителю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жалоб, поступивших в Департамент, осуществляется в порядке и сроки,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потребителю выдается второй экземпляр с отметкой о принятии.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 законодательством, подлежат обязательному приему, регистрации, учету и рассмотрению. Телефон канцелярии: 21-22-61.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24. Прием потребителей осуществляется в соответствии с установленным графиком работы Департамента. Директор Департамента, кабинет 23. Телефон: 21-04-92, факс: 21-28-39.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граждан: понедельник, среда с 14.00 до 17.00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Департамента, кабинет 25, телефон: 21-91-67.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граждан: ежедневно с 9.00 до 18.00 часов, обеденный перерыв с 13.00 до 14.00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Начальники отделов - кабинеты 3, 4, 9 (в зависимости от категорий граждан), телефоны: 21-11-60, 21-09-48, 21-03-37.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18.00 часов, обеденный перерыв с 13.00 до 14.00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Графики работы отделов: прием граждан ежедневно с 9.00 до 17.00 часов, обеденный перерыв с 13.00 до 14.00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Астаны. Адрес: город Астана, улица Бейбитшилик 11, кабинет 233. График приема граждан - согласно Регламенту работы акимата города Астаны. Телефон: 75-21-68.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Астаны. Адрес: город Астана, улица Бейбитшилик 11, сайт Акима города Астаны: www.аstana.kz.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Казахстан, город Астана, Дом Министерств, улица 35, дом 2, подъезд 6, сайт www.Enbek.kz.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Сайт Акима города Астаны: www.аstana.кz.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Решение специальной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акиме района _______________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признании (отказе в признании) граждан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пострадавшими вследствие ядерных испытаний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Семипалатинском испытательном ядерном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 N ___, дата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Гр.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Считать гр. ___________ пострадавшим(ей) вследствие ядерных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 испытательном ядерном полигоне за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с _____________ по __________ в зоне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радиационного риска;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____________ по __________ в зоне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радиационного риска;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____________ по __________ в зоне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радиационного риска;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итогам сверки с АО "Народный Банк Казахстана" считаем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необходимым внебалансовый счет ________ закрыть.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Гр.: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период с 1993 года по настоящее время выплата компенсации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производилась/производилась (нужное подчеркнуть).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Произведена в сумме ________ тенге ________ тиын.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зачислена на внебалансовый специальный счет в общей сумме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 тенге __ тиын, но не выплачена.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Отказать гр.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регистрации как пострадавшего вследствие ядерных испытаний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Семипалатинском испытательном ядерном полигоне.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 принятом решении уведомить заявителя.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адресата)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Доводим до Вашего сведения, что на основании Протокола N 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________ 200__ года заседания специальной комиссии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"___________" города Астаны по регистрации и учету граждан,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 испытаний на Семипалатинском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полигоне, принято 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 признании либо об отказе в признании пострадавшим, если отказ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- обоснование отказа)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Макет дела для назначения единовременной денежной компенсации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 в уполномоченную организацию по выплате компенсации (ГЦВП).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Список граждан,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сдавших макеты дел в комиссии предприятий,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организаций и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предприятия, организации учреждения)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073"/>
        <w:gridCol w:w="2593"/>
        <w:gridCol w:w="3333"/>
        <w:gridCol w:w="285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в деле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Передал: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комиссии: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   (предприятия, организации, учреждения)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Принял: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специальной комиссии: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Директору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Министерства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 городу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проживающего(-ему)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 адресу: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документ, удостоверяющий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личность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РНН________________________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 лицевого счета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Наименование банка 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произвести назначение единовременной денежной компенсации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компенсация) как пострадавшему вследствие ядерных испытаний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Семипалатинском испытательном ядерном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Проживал с ___ по ___ на территории __________ зоны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радиационного воздействия.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Проживал с ___ по ___ на территории __________ зоны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радиационного воздействия.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Проживал с ___ по ___ на территории __________ зоны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радиационного воздействия.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Проживал с ___ по ___ на территории __________ зоны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радиационного воздействия.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Проживал с ___ по ___ на территории __________ зоны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радиационного воздействия.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документы, подтверждающие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 проживания на вышеуказанных территориях.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Несу полную ответственность за представленные документы.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Компенсацию за период с 1993 по настоящее время не получил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случае получения указывается сумма полученной компенсации)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 __________________подпись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(линия отреза)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гр. _____________ с прилагаемыми документами в количестве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штук принято "___"___________ 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(должность, ФИО лица, принявшего документы)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Значения показателей качества и доступности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3"/>
        <w:gridCol w:w="2373"/>
        <w:gridCol w:w="2813"/>
        <w:gridCol w:w="2213"/>
      </w:tblGrid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  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 ожидавших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40 минут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 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(произведенных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информацией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 раза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виду услуг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удовлетворенных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Журнал регистрации граждан для получения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единовременной государственной денежной компенсации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1869"/>
        <w:gridCol w:w="1939"/>
        <w:gridCol w:w="1547"/>
        <w:gridCol w:w="1603"/>
        <w:gridCol w:w="2856"/>
        <w:gridCol w:w="2426"/>
      </w:tblGrid>
      <w:tr>
        <w:trPr>
          <w:trHeight w:val="45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
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
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указанием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номера, даты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выдачу)
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