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530ed" w14:textId="1d530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25 декабря 2006 года N 296 "Об утверждении Правил классификации активов, условных обязательств и создания провизий (резервов) против них и внесении изменения в постановление Правления Агентства Республики Казахстан по регулированию и надзору финансового рынка и финансовых организаций от 26 марта 2005 года N 116 "О внесении изменений в некоторые нормативные правовые акты Республики Казахстан по вопросам регулирования и надзора финансового рынка и финансовых организаций"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18 июля 2008 года № 104. Зарегистрировано в Министерстве юстиции Республики Казахстан от 18 сентября 2008 года № 5307. Утратило силу постановлением Правления Национального Банка Республики Казахстан от 27 мая 2013 года № 137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Постановление утратило силу постановлением Правления Национального Банка РК от 27.05.2013 </w:t>
      </w:r>
      <w:r>
        <w:rPr>
          <w:rFonts w:ascii="Times New Roman"/>
          <w:b w:val="false"/>
          <w:i w:val="false"/>
          <w:color w:val="ff0000"/>
          <w:sz w:val="28"/>
        </w:rPr>
        <w:t>№ 137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нормативных правовых актов, регулирующих деятельность банков второго уровня, Правление Агентства Республики Казахстан по регулированию и надзору финансового рынка и финансовых организаций (далее - Агентство)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Агентства Республики Казахстан по регулированию и надзору финансового рынка и финансовых организаций от 25 декабря 2006 года N 296 "Об утверждении Правил классификации активов, условных обязательств и создания провизий (резервов) против них и внесении изменения в постановление Правления Агентства Республики Казахстан по регулированию и надзору финансового рынка и финансовых организаций от 26 марта 2005 года N 116 "О внесении изменений в некоторые нормативные правовые акты Республики Казахстан по вопросам регулирования и надзора финансового рынка и финансовых организаций" (зарегистрированное в Реестре государственной регистрации нормативных правовых актов под N 4580)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классификации активов, условных обязательств и создания провизий (резервов) против них,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дополнить подпунктом 6-1)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"6-1) секьюритизированные активы - выделенные активы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20 февраля 2006 года "О секьюритизации";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 после слов "дебиторской задолженности" дополнить словами ", секьюритизированным активам, по которым у банка имеется письменное подтверждение уполномоченного органа на применение рамочного подхода секьюритизации, секьюритизированным активам, по которым у банка отсутствует письменное подтверждение уполномоченного органа на применение рамочного подхода секьюритизации";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8-1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"8-1. Секьюритизированные активы подлежат классификации в соответствии с настоящими Правилами. Провизии по секьюритизированным активам, по которым у банка имеется письменное подтверждение уполномоченного органа на применение рамочного подхода секьюритизации, не создаются.";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19: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после слов "качества обеспечения" дополнить словами "и целевого использования.";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девятый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"Качество обеспечения и доля нецелевого использования кредита оцениваются отдельно по каждому из требований.";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26 после слов "по данному кредиту," дополнить словами "а также отсутствует формулировка в тексте договора банковского займа, определяющая периодичность оплаты вознаграждения,";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28: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"инструментами хеджирования" дополнить словами "со стороны заемщика";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"Приложением 2" дополнить словами "или Приложением 3".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главой 7-1 следующего содержания: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"Глава 7-1. Особенности классификации секьюритизированных активов 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49-1. При наличии у банка письменного подтверждения уполномоченного органа на применение рамочного подхода секьюритизации банк осуществляет классификацию активов в соответствии с Приложением 1 к настоящим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49-2. При отсутствии у банка письменного подтверждения уполномоченного органа на применение рамочного подхода секьюритизации банк: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формирует провизии на классифицированные секьюритизированные активы;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осуществляет классификацию активов в соответствии с Приложением 1 к настоящим Правилам.";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предложение первое пункта 54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"Уполномоченный орган по результатам проверок банков, а также в ходе проверки может требовать повышения уровня провизий (резервов).";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таблицы 1 и 2, после графы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53"/>
      </w:tblGrid>
      <w:tr>
        <w:trPr>
          <w:trHeight w:val="30" w:hRule="atLeast"/>
        </w:trPr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сумма основного долга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кредитам (за исключением финансового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лизинга). </w:t>
            </w:r>
          </w:p>
        </w:tc>
      </w:tr>
      <w:tr>
        <w:trPr>
          <w:trHeight w:val="30" w:hRule="atLeast"/>
        </w:trPr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дополнить графой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73"/>
      </w:tblGrid>
      <w:tr>
        <w:trPr>
          <w:trHeight w:val="30" w:hRule="atLeast"/>
        </w:trPr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начисленного вознаграждения </w:t>
            </w:r>
          </w:p>
        </w:tc>
      </w:tr>
      <w:tr>
        <w:trPr>
          <w:trHeight w:val="30" w:hRule="atLeast"/>
        </w:trPr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2-1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таблицы 3, 4 и 5, после графы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73"/>
      </w:tblGrid>
      <w:tr>
        <w:trPr>
          <w:trHeight w:val="30" w:hRule="atLeast"/>
        </w:trPr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сумма основного долга </w:t>
            </w:r>
          </w:p>
        </w:tc>
      </w:tr>
      <w:tr>
        <w:trPr>
          <w:trHeight w:val="30" w:hRule="atLeast"/>
        </w:trPr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дополнить графой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73"/>
      </w:tblGrid>
      <w:tr>
        <w:trPr>
          <w:trHeight w:val="30" w:hRule="atLeast"/>
        </w:trPr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начисленного вознаграждения </w:t>
            </w:r>
          </w:p>
        </w:tc>
      </w:tr>
      <w:tr>
        <w:trPr>
          <w:trHeight w:val="30" w:hRule="atLeast"/>
        </w:trPr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1-1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таблицу 6 после графы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73"/>
      </w:tblGrid>
      <w:tr>
        <w:trPr>
          <w:trHeight w:val="30" w:hRule="atLeast"/>
        </w:trPr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Стоимость </w:t>
            </w:r>
          </w:p>
        </w:tc>
      </w:tr>
      <w:tr>
        <w:trPr>
          <w:trHeight w:val="30" w:hRule="atLeast"/>
        </w:trPr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дополнить графой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73"/>
      </w:tblGrid>
      <w:tr>
        <w:trPr>
          <w:trHeight w:val="30" w:hRule="atLeast"/>
        </w:trPr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начисленного вознаграждения </w:t>
            </w:r>
          </w:p>
        </w:tc>
      </w:tr>
      <w:tr>
        <w:trPr>
          <w:trHeight w:val="30" w:hRule="atLeast"/>
        </w:trPr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1-1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таблицу 7 после графы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93"/>
      </w:tblGrid>
      <w:tr>
        <w:trPr>
          <w:trHeight w:val="30" w:hRule="atLeast"/>
        </w:trPr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сумма основного долга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депозиту в целях налогообложения </w:t>
            </w:r>
          </w:p>
        </w:tc>
      </w:tr>
      <w:tr>
        <w:trPr>
          <w:trHeight w:val="30" w:hRule="atLeast"/>
        </w:trPr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дополнить графой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3"/>
      </w:tblGrid>
      <w:tr>
        <w:trPr>
          <w:trHeight w:val="30" w:hRule="atLeast"/>
        </w:trPr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начисленного вознаграждения </w:t>
            </w:r>
          </w:p>
        </w:tc>
      </w:tr>
      <w:tr>
        <w:trPr>
          <w:trHeight w:val="30" w:hRule="atLeast"/>
        </w:trPr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2-1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таблицу 8 после графы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3"/>
      </w:tblGrid>
      <w:tr>
        <w:trPr>
          <w:trHeight w:val="30" w:hRule="atLeast"/>
        </w:trPr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сумма дебиторской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задолженности по документарным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расчетам и гарантиям в целях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налогообложения </w:t>
            </w:r>
          </w:p>
        </w:tc>
      </w:tr>
      <w:tr>
        <w:trPr>
          <w:trHeight w:val="30" w:hRule="atLeast"/>
        </w:trPr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дополнить графой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3"/>
      </w:tblGrid>
      <w:tr>
        <w:trPr>
          <w:trHeight w:val="30" w:hRule="atLeast"/>
        </w:trPr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начисленного вознаграждения </w:t>
            </w:r>
          </w:p>
        </w:tc>
      </w:tr>
      <w:tr>
        <w:trPr>
          <w:trHeight w:val="30" w:hRule="atLeast"/>
        </w:trPr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2-1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таблицу 9 после графы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3"/>
      </w:tblGrid>
      <w:tr>
        <w:trPr>
          <w:trHeight w:val="30" w:hRule="atLeast"/>
        </w:trPr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сумма условных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обязательств по непокрытым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аккредитивам, выпущенным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гарантиям </w:t>
            </w:r>
          </w:p>
        </w:tc>
      </w:tr>
      <w:tr>
        <w:trPr>
          <w:trHeight w:val="30" w:hRule="atLeast"/>
        </w:trPr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дополнить графой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73"/>
      </w:tblGrid>
      <w:tr>
        <w:trPr>
          <w:trHeight w:val="30" w:hRule="atLeast"/>
        </w:trPr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начисленного вознаграждения </w:t>
            </w:r>
          </w:p>
        </w:tc>
      </w:tr>
      <w:tr>
        <w:trPr>
          <w:trHeight w:val="30" w:hRule="atLeast"/>
        </w:trPr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 2-1 </w:t>
            </w:r>
          </w:p>
        </w:tc>
      </w:tr>
    </w:tbl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таблицами 10, 11 согласно приложению к настоящему постановлению;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таблицу 1 после строки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5873"/>
        <w:gridCol w:w="953"/>
      </w:tblGrid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отсутствие просрочек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погашении платежей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классифицируемому активу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5833"/>
        <w:gridCol w:w="1033"/>
      </w:tblGrid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по которым имелась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просрочка платежей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текущей даты, и по которым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 оплаты платежей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наступил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</w:tbl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по заполнению таблицы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1 пункта 5 после слова "(должник" дополнить словом ", созаемщик)";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после слова "(должника" дополнить словом ", созаемщика)";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второй - пятый, десятый, двенадцатый - четырнадцатый после слов "заемщика", "заемщиком" дополнить соответственно словами "(созаемщика)", "(созаемщиком)";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после слова "(должника" дополнить словом ", созаемщика)";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второй - шестой после слов "заемщика", "заемщик", "заемщиком", "заемщику" дополнить соответственно словами "(созаемщика)", "(созаемщик)", "(созаемщиком)", "(созаемщику)";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седьмой подпункта 3) пункта 9 после слов "балансе заемщика" дополнить словами "и/или залогодателя";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пунктами 10 и 11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"10. При наличии просроченных платежей со сроком 7 (семь) и более рабочих дней в течение периода кредитования, а также не наступления сроков погашения платежей, (за исключением случаев досрочного погашения платежей) по отдельному договору банковского займа, критерии "отсутствие просрочек в погашении платежей по классифицируемому активу - 1 балл" не применяется.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Займам, по которым имелась просрочка погашения платежей со сроком 7 (семь) и более рабочих дней, а также по которым не наступил срок погашения платежей, присваивается 0 баллов.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Доля нецелевого использования актива рассчитывается индивидуально по каждому договору банковского займа, в том числе заключенному в рамках одной кредитной линии.";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по заполнению таблицы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5 после слов "заемщика", "заемщик", "заемщиком", "заемщику" дополнить соответственно словами "(созаемщика)", "(созаемщик)", "(созаемщиком)", "(созаемщику)";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седьмой подпункта 1) пункта 6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"залога денег на депозите в банке-кредиторе и/или денег, являющихся предметом заклада в банке-кредиторе;".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четырнадцати дней со дня его государственной регистрации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стратегии и анализа (Абдрахманов Н.А.):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(Сарсенова Н.В.)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Агентства, Объединения юридических лиц "Ассоциация финансистов Казахстана".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Службе Председателя Агентства принять меры к публикации настоящего постановления в средствах массовой информации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заместителя Председателя Агентства Кожахметова К.Б.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Председатель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  </w:t>
      </w:r>
      <w:r>
        <w:rPr>
          <w:rFonts w:ascii="Times New Roman"/>
          <w:b w:val="false"/>
          <w:i/>
          <w:color w:val="000000"/>
          <w:sz w:val="28"/>
        </w:rPr>
        <w:t xml:space="preserve">Е. Бахмутова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Жамишев Б.Б.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подпись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"25" августа 2008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Гербовая печать </w:t>
      </w:r>
    </w:p>
    <w:bookmarkStart w:name="z3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 Агентства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по регулированию и надзору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финансового рынка и финансовых организаций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июля 2008 года N 104   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"Таблица 10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Классификация секьюритизированных активов, при наличии у банка </w:t>
      </w:r>
      <w:r>
        <w:br/>
      </w:r>
      <w:r>
        <w:rPr>
          <w:rFonts w:ascii="Times New Roman"/>
          <w:b/>
          <w:i w:val="false"/>
          <w:color w:val="000000"/>
        </w:rPr>
        <w:t xml:space="preserve">
письменного подтверждения уполномоченного органа на применение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рамочного подхода секьюритизации на "____"___________200__года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Банк 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тысяч тенге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82"/>
        <w:gridCol w:w="1534"/>
        <w:gridCol w:w="1978"/>
        <w:gridCol w:w="1112"/>
        <w:gridCol w:w="2654"/>
      </w:tblGrid>
      <w:tr>
        <w:trPr>
          <w:trHeight w:val="630" w:hRule="atLeast"/>
        </w:trPr>
        <w:tc>
          <w:tcPr>
            <w:tcW w:w="3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классификации </w:t>
            </w:r>
          </w:p>
        </w:tc>
        <w:tc>
          <w:tcPr>
            <w:tcW w:w="1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долга </w:t>
            </w:r>
          </w:p>
        </w:tc>
        <w:tc>
          <w:tcPr>
            <w:tcW w:w="1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обеспечения 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высоко-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ликвидное </w:t>
            </w:r>
          </w:p>
        </w:tc>
      </w:tr>
      <w:tr>
        <w:trPr>
          <w:trHeight w:val="30" w:hRule="atLeast"/>
        </w:trPr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Стандартные 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Сомнительные: 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сомнительные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категории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своевремен-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и полной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оплате платежей 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сомнительные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категории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задержке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неполной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оплате платежей 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сомнительные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категории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своевремен-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и полной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оплате платежей 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сомнительные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категории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задержке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неполной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оплате платежей 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сомнительные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категории 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Безнадежные 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(1+2+3) 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Место печати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Главный бухгалтер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Исполнитель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телефон: </w:t>
      </w:r>
    </w:p>
    <w:bookmarkStart w:name="z3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Таблица 11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Классификация секьюритизированных активов по которым у банка </w:t>
      </w:r>
      <w:r>
        <w:br/>
      </w:r>
      <w:r>
        <w:rPr>
          <w:rFonts w:ascii="Times New Roman"/>
          <w:b/>
          <w:i w:val="false"/>
          <w:color w:val="000000"/>
        </w:rPr>
        <w:t xml:space="preserve">
отсутствует письменное подтверждение уполномоченного органа на </w:t>
      </w:r>
      <w:r>
        <w:br/>
      </w:r>
      <w:r>
        <w:rPr>
          <w:rFonts w:ascii="Times New Roman"/>
          <w:b/>
          <w:i w:val="false"/>
          <w:color w:val="000000"/>
        </w:rPr>
        <w:t xml:space="preserve">
применение рамочного подхода секьюритизации на </w:t>
      </w:r>
      <w:r>
        <w:br/>
      </w:r>
      <w:r>
        <w:rPr>
          <w:rFonts w:ascii="Times New Roman"/>
          <w:b/>
          <w:i w:val="false"/>
          <w:color w:val="000000"/>
        </w:rPr>
        <w:t xml:space="preserve">
"____"___________200__года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Банк 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тысяч тенге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46"/>
        <w:gridCol w:w="1163"/>
        <w:gridCol w:w="1330"/>
        <w:gridCol w:w="1267"/>
        <w:gridCol w:w="1414"/>
        <w:gridCol w:w="473"/>
        <w:gridCol w:w="1667"/>
      </w:tblGrid>
      <w:tr>
        <w:trPr>
          <w:trHeight w:val="630" w:hRule="atLeast"/>
        </w:trPr>
        <w:tc>
          <w:tcPr>
            <w:tcW w:w="3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классификации </w:t>
            </w:r>
          </w:p>
        </w:tc>
        <w:tc>
          <w:tcPr>
            <w:tcW w:w="11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долга </w:t>
            </w:r>
          </w:p>
        </w:tc>
        <w:tc>
          <w:tcPr>
            <w:tcW w:w="1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дения </w:t>
            </w:r>
          </w:p>
        </w:tc>
        <w:tc>
          <w:tcPr>
            <w:tcW w:w="1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визий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 %)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лам </w:t>
            </w:r>
          </w:p>
        </w:tc>
        <w:tc>
          <w:tcPr>
            <w:tcW w:w="1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обеспечения 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высоко-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ликвидное 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Стандартные 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Сомнительные: 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сомнительные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категории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своевремен-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и полной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оплате платежей 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сомнительные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категории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задержке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неполной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оплате платежей 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сомнительные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категории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своевремен-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и полной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оплате платежей 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сомнительные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категории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задержке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неполной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оплате платежей 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сомнительные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категории 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Безнадежные 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(1+2+3) 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Место печати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Главный бухгалтер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Исполнитель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телефон:".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