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8c63" w14:textId="8bb8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
устройство Жарминского, Урджарского, Бескарагайского, Уланского районов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Восточно-Казахстанской области от 8 ноября 2007 года N 305, решение III сессии Восточно- Казахстанского областного маслихата IV созыва от 14 декабря 2007 года N 3/36-IV. Зарегистрировано Департаментом юстиции Восточно-Казахстанской области 9 января 2008 года за N 2465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,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местном государственном управлении в Республике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 8  </w:t>
      </w:r>
      <w:r>
        <w:rPr>
          <w:rFonts w:ascii="Times New Roman"/>
          <w:b w:val="false"/>
          <w:i w:val="false"/>
          <w:color w:val="000000"/>
          <w:sz w:val="28"/>
        </w:rPr>
        <w:t>
и
</w:t>
      </w:r>
      <w:r>
        <w:rPr>
          <w:rFonts w:ascii="Times New Roman"/>
          <w:b w:val="false"/>
          <w:i w:val="false"/>
          <w:color w:val="000000"/>
          <w:sz w:val="28"/>
        </w:rPr>
        <w:t xml:space="preserve">  11  </w:t>
      </w:r>
      <w:r>
        <w:rPr>
          <w:rFonts w:ascii="Times New Roman"/>
          <w:b w:val="false"/>
          <w:i w:val="false"/>
          <w:color w:val="000000"/>
          <w:sz w:val="28"/>
        </w:rPr>
        <w:t>
Закона Республики Казахстан "Об административно-территориальном устройстве Республики Казахстан", на основании совместного решения маслихата от 14 июля 2006 года N 32-12 и постановления акимата от 12 июля 2006 года N 236, совместного решения маслихата от 23 июля 2007 года N 40-7 и постановления акимата от 13 июля 2007 года N 183 Жарминского района, совместного решения маслихата от 21 мая 2007 года N 29-294-III и постановления акимата от 16 мая 2007 года N 84 Урджарского района, совместного решения маслихата от 24 мая 2007 года N 26-3 и постановления акимата от 24 мая 2007 года N168 Бескарагайского района, совместного решения маслихата от 27 июля 2007 года N 240 и постановления акимата от 24 июля 2007 года N 3 Уланского района, Восточно-Казахстанский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 и Восточно-Казахстанский областной акимат
</w:t>
      </w:r>
      <w:r>
        <w:rPr>
          <w:rFonts w:ascii="Times New Roman"/>
          <w:b/>
          <w:i w:val="false"/>
          <w:color w:val="000000"/>
          <w:sz w:val="28"/>
        </w:rPr>
        <w:t>
 ПОСТАНОВЛЯЕТ: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административно-территориальное устройство Жарминского, Урджарского, Бескарагайского, Уланского районов Восточно-Казахстанской области: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перевести из категории села в категорию иные поселения, исключив из учетных данных, следующие населенные пункты: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Турксиб Аршалинского сельского округа, село Караш города Шар, села Нарбота и Первомайское Капанбулакского сельского округа, село Корукшар Георгиевского сельского округа, село Корганбай Жайминского сельского округа и села Мортас, Костобе и Черниговка Шалабайского сельского округа Жарминского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включить население указанных иных поселений в состав: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поселение Турксиб в состав села Аршалы Аршалинского сельского округа, поселение Караш в состав города Шар, поселения Первомайское и Нарбота в состав села Капанбулак Капанбулакского сельского округа, поселение Корукшар в состав села Георгиевка Георгиевского сельского округа, поселение Корганбай в состав села Жайма Жайминского сельского округа, поселения Мортас, Костобе и Черниговка в состав села Шалабай Шалабайского сельского округа Жарминского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упразднить и исключить из учетных данных село Кызылжетек города Шар Жарминского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переименовать следующие административно-территориальные единицы: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Урджарскому району: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Южный Благодатненского сельского округа в село Жана тилек;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Благодатненский сельский округ в Жана тилекский сельский округ.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Бескарагайскому району: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Большая Владимировка Больше-Владимировского сельского округа в село Бескарагай;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Больше-Владимировский сельский округ в Бескарагайский сельский округ.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Уланскому району: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Ленинка Аблакетского сельского округа в село Сагыр;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Завидное Айыртауского сельского округа в село Айыртау.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Жарминскому району: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Гергиевском сельском округе: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Георгиевка в село Калбатау;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Васильковка в село Батыр Капай;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Новореченск в село Жанаозен.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и постановление вводится в действие по истечении десяти календарных дней после дня их первого официального опубликования. 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80"/>
        <w:gridCol w:w="6840"/>
      </w:tblGrid>
      <w:tr>
        <w:trPr>
          <w:trHeight w:val="450" w:hRule="atLeast"/>
        </w:trPr>
        <w:tc>
          <w:tcPr>
            <w:tcW w:w="65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Председатель сессии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Аким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Секретарь областного маслихата                   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