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76bc" w14:textId="b527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защите водохозяйственных сооружений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акимата ЮКО N 1195 от 7 июня 2007 года. Зарегистрировано управлением юстиции города Шымкента N 14-1-55 от 29 июня 2007 года. Утратило силу - постановлением Шымкентского городского акимата Южно-Казахстанской области от 5 октября 2009 года N 1444</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 постановлением Шымкентского городского акимата Южно-Казахстанской области от 05.10.2009 N 1444.</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целях защиты водохозяйственных сооружений от вредного воздействия сточных вод, на основании  </w:t>
      </w:r>
      <w:r>
        <w:rPr>
          <w:rFonts w:ascii="Times New Roman"/>
          <w:b w:val="false"/>
          <w:i w:val="false"/>
          <w:color w:val="000000"/>
          <w:sz w:val="28"/>
        </w:rPr>
        <w:t xml:space="preserve">статьи 31 </w:t>
      </w:r>
      <w:r>
        <w:rPr>
          <w:rFonts w:ascii="Times New Roman"/>
          <w:b w:val="false"/>
          <w:i w:val="false"/>
          <w:color w:val="000000"/>
          <w:sz w:val="28"/>
        </w:rPr>
        <w:t xml:space="preserve">Закона Республики Казахстан "О местном государственном управлении в Республике Казахстан", акимат города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Сбрасываемые в городскую канализацию сточные воды производственных предприятий (далее-Потребитель) не должны: </w:t>
      </w:r>
      <w:r>
        <w:br/>
      </w:r>
      <w:r>
        <w:rPr>
          <w:rFonts w:ascii="Times New Roman"/>
          <w:b w:val="false"/>
          <w:i w:val="false"/>
          <w:color w:val="000000"/>
          <w:sz w:val="28"/>
        </w:rPr>
        <w:t xml:space="preserve">
      нарушать работу канализационных сетей и сооружений, безопасность их эксплуатации; </w:t>
      </w:r>
      <w:r>
        <w:br/>
      </w:r>
      <w:r>
        <w:rPr>
          <w:rFonts w:ascii="Times New Roman"/>
          <w:b w:val="false"/>
          <w:i w:val="false"/>
          <w:color w:val="000000"/>
          <w:sz w:val="28"/>
        </w:rPr>
        <w:t xml:space="preserve">
      содержать вещества, которые способны засорять трубы, колодцы, решетки или отлагаться на стенках труб, колодцев, решеток (окалина, известь, песок, металлическая стружка, каныга и т.д.); </w:t>
      </w:r>
      <w:r>
        <w:br/>
      </w:r>
      <w:r>
        <w:rPr>
          <w:rFonts w:ascii="Times New Roman"/>
          <w:b w:val="false"/>
          <w:i w:val="false"/>
          <w:color w:val="000000"/>
          <w:sz w:val="28"/>
        </w:rPr>
        <w:t xml:space="preserve">
      содержать вещества, оказывающие разрушающее действие на материал труб и элементы сооружений системы канализации; </w:t>
      </w:r>
      <w:r>
        <w:br/>
      </w:r>
      <w:r>
        <w:rPr>
          <w:rFonts w:ascii="Times New Roman"/>
          <w:b w:val="false"/>
          <w:i w:val="false"/>
          <w:color w:val="000000"/>
          <w:sz w:val="28"/>
        </w:rPr>
        <w:t xml:space="preserve">
      содержать вредные вещества в концентрациях, препятствующих биологической очистке сточных вод; </w:t>
      </w:r>
      <w:r>
        <w:br/>
      </w:r>
      <w:r>
        <w:rPr>
          <w:rFonts w:ascii="Times New Roman"/>
          <w:b w:val="false"/>
          <w:i w:val="false"/>
          <w:color w:val="000000"/>
          <w:sz w:val="28"/>
        </w:rPr>
        <w:t xml:space="preserve">
      содержать опасные бактериальные загрязнения; </w:t>
      </w:r>
      <w:r>
        <w:br/>
      </w:r>
      <w:r>
        <w:rPr>
          <w:rFonts w:ascii="Times New Roman"/>
          <w:b w:val="false"/>
          <w:i w:val="false"/>
          <w:color w:val="000000"/>
          <w:sz w:val="28"/>
        </w:rPr>
        <w:t xml:space="preserve">
      содержать нерастворимые масла, смолы и мазут; </w:t>
      </w:r>
      <w:r>
        <w:br/>
      </w:r>
      <w:r>
        <w:rPr>
          <w:rFonts w:ascii="Times New Roman"/>
          <w:b w:val="false"/>
          <w:i w:val="false"/>
          <w:color w:val="000000"/>
          <w:sz w:val="28"/>
        </w:rPr>
        <w:t xml:space="preserve">
      содержать биологические "жесткие" поверхностно-активные вещества (ПАВ); </w:t>
      </w:r>
      <w:r>
        <w:br/>
      </w:r>
      <w:r>
        <w:rPr>
          <w:rFonts w:ascii="Times New Roman"/>
          <w:b w:val="false"/>
          <w:i w:val="false"/>
          <w:color w:val="000000"/>
          <w:sz w:val="28"/>
        </w:rPr>
        <w:t xml:space="preserve">
      содержать взвешенные и всплывающие вещества в концентрациях, превышающих установленные допустимые нормативы; </w:t>
      </w:r>
      <w:r>
        <w:br/>
      </w:r>
      <w:r>
        <w:rPr>
          <w:rFonts w:ascii="Times New Roman"/>
          <w:b w:val="false"/>
          <w:i w:val="false"/>
          <w:color w:val="000000"/>
          <w:sz w:val="28"/>
        </w:rPr>
        <w:t xml:space="preserve">
      содержать только минеральные вещества; </w:t>
      </w:r>
      <w:r>
        <w:br/>
      </w:r>
      <w:r>
        <w:rPr>
          <w:rFonts w:ascii="Times New Roman"/>
          <w:b w:val="false"/>
          <w:i w:val="false"/>
          <w:color w:val="000000"/>
          <w:sz w:val="28"/>
        </w:rPr>
        <w:t xml:space="preserve">
      содержать кислоты, горючие смеси, токсичные и растворенные газообразные вещества, способные образовывать в системе и сооружениях канализации токсичные газы (сероводород, сероуглерод, окись углерода, пары легколетучих ароматических углеродов и другие взрывоопасные и токсичные смеси); </w:t>
      </w:r>
      <w:r>
        <w:br/>
      </w:r>
      <w:r>
        <w:rPr>
          <w:rFonts w:ascii="Times New Roman"/>
          <w:b w:val="false"/>
          <w:i w:val="false"/>
          <w:color w:val="000000"/>
          <w:sz w:val="28"/>
        </w:rPr>
        <w:t xml:space="preserve">
      содержать вещества, для которых не установлены нормативы сброса со сточными водами в систему канализации.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Запрещается сбрасывать в систему канализации города:  </w:t>
      </w:r>
      <w:r>
        <w:br/>
      </w:r>
      <w:r>
        <w:rPr>
          <w:rFonts w:ascii="Times New Roman"/>
          <w:b w:val="false"/>
          <w:i w:val="false"/>
          <w:color w:val="000000"/>
          <w:sz w:val="28"/>
        </w:rPr>
        <w:t xml:space="preserve">
сточные воды, расход и состав которых может привести к превышению допустимого количества загрязняющих веществ, установленного настоящим постановлением; </w:t>
      </w:r>
      <w:r>
        <w:br/>
      </w:r>
      <w:r>
        <w:rPr>
          <w:rFonts w:ascii="Times New Roman"/>
          <w:b w:val="false"/>
          <w:i w:val="false"/>
          <w:color w:val="000000"/>
          <w:sz w:val="28"/>
        </w:rPr>
        <w:t xml:space="preserve">
      сточные воды с концентрацией нормируемого вещества в десять и более раз превышающее установленное значение допустимой концентрации (залповые сбросы загрязняющих веществ); сточные воды с температурой выше 40 С </w:t>
      </w:r>
      <w:r>
        <w:rPr>
          <w:rFonts w:ascii="Times New Roman"/>
          <w:b w:val="false"/>
          <w:i w:val="false"/>
          <w:color w:val="000000"/>
          <w:vertAlign w:val="superscript"/>
        </w:rPr>
        <w:t xml:space="preserve">0 </w:t>
      </w:r>
      <w:r>
        <w:rPr>
          <w:rFonts w:ascii="Times New Roman"/>
          <w:b w:val="false"/>
          <w:i w:val="false"/>
          <w:color w:val="000000"/>
          <w:sz w:val="28"/>
        </w:rPr>
        <w:t xml:space="preserve">, с водородным показателем (рH) ниже 6,5 и выше 9,0 единиц; </w:t>
      </w:r>
      <w:r>
        <w:br/>
      </w:r>
      <w:r>
        <w:rPr>
          <w:rFonts w:ascii="Times New Roman"/>
          <w:b w:val="false"/>
          <w:i w:val="false"/>
          <w:color w:val="000000"/>
          <w:sz w:val="28"/>
        </w:rPr>
        <w:t xml:space="preserve">
      концентрированные маточные и кубовые растворы;  </w:t>
      </w:r>
      <w:r>
        <w:br/>
      </w:r>
      <w:r>
        <w:rPr>
          <w:rFonts w:ascii="Times New Roman"/>
          <w:b w:val="false"/>
          <w:i w:val="false"/>
          <w:color w:val="000000"/>
          <w:sz w:val="28"/>
        </w:rPr>
        <w:t xml:space="preserve">
      грунт, строительный и бытовой мусор; </w:t>
      </w:r>
      <w:r>
        <w:br/>
      </w:r>
      <w:r>
        <w:rPr>
          <w:rFonts w:ascii="Times New Roman"/>
          <w:b w:val="false"/>
          <w:i w:val="false"/>
          <w:color w:val="000000"/>
          <w:sz w:val="28"/>
        </w:rPr>
        <w:t xml:space="preserve">
      радиоактивные вещества и продукты их распада.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Не подлежат также сбросу в систему канализации города без согласования с предприятием, предоставляющим услуги по водоснабжению и отведению сточных вод (далее - Услугодатель) Услугодателем:  </w:t>
      </w:r>
      <w:r>
        <w:br/>
      </w:r>
      <w:r>
        <w:rPr>
          <w:rFonts w:ascii="Times New Roman"/>
          <w:b w:val="false"/>
          <w:i w:val="false"/>
          <w:color w:val="000000"/>
          <w:sz w:val="28"/>
        </w:rPr>
        <w:t xml:space="preserve">
      дренажные воды; </w:t>
      </w:r>
      <w:r>
        <w:br/>
      </w:r>
      <w:r>
        <w:rPr>
          <w:rFonts w:ascii="Times New Roman"/>
          <w:b w:val="false"/>
          <w:i w:val="false"/>
          <w:color w:val="000000"/>
          <w:sz w:val="28"/>
        </w:rPr>
        <w:t xml:space="preserve">
      условно-чистые сточные воды, не загрязненные в технологическом цикле; </w:t>
      </w:r>
      <w:r>
        <w:br/>
      </w:r>
      <w:r>
        <w:rPr>
          <w:rFonts w:ascii="Times New Roman"/>
          <w:b w:val="false"/>
          <w:i w:val="false"/>
          <w:color w:val="000000"/>
          <w:sz w:val="28"/>
        </w:rPr>
        <w:t xml:space="preserve">
      поверхностный сток с территории предприятий (дождевые, талые, поливомоечные воды и др.); </w:t>
      </w:r>
      <w:r>
        <w:br/>
      </w:r>
      <w:r>
        <w:rPr>
          <w:rFonts w:ascii="Times New Roman"/>
          <w:b w:val="false"/>
          <w:i w:val="false"/>
          <w:color w:val="000000"/>
          <w:sz w:val="28"/>
        </w:rPr>
        <w:t xml:space="preserve">
      сточные воды со специализированных машин.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Удаление и обезвреживание сточных вод, содержащих радионуклиды, должно осуществляться в соответствии с действующими нормами радиационной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Сброс ненормированных загрязняющих веществ (не указанные в разрешении на сброс сточных вод) в систему канализации устанавливается по нормам предельно допустимых концентраций (ПДК) водоема рыбохозяйственного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Если сточные воды Потребителя содержат ненормированные вещества, то для сброса таких сточных вод в систему канализации необходимо представить Услугодателю заявку на расчет норматива и получить разрешение на сброс этих веществ со сточными водами.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Для загрязняющих веществ с неустановленным нормативом ПДК в воде водных объектов рыбохозяйственного водопользования норматив сброса в систему канализации данного вещества принимается равным пределу чувствительности допущенной методики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Если физико-химический состав сточных вод не удовлетворяет требованиям Постановления, то сточные воды должны подвергаться предварительной очистке или обработке. Степень предварительной очистки и проект локальных очистных сооружений должны быть согласованы с Услугодателем.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При значительных колебаниях состава сточных вод в течение суток необходимо предусмотреть емкости - усреднители, обеспечивающие равномерный выпуск сточных вод. При нарушении процессов биологической очистки кислые и щелочные сточные воды при выпуске в систему канализации следует либо нейтрализовать, либо усреднять.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Сбор сточных вод в систему канализации города должен осуществляться самостоятельными выпусками с обязательным устройством контрольного колодца, расположенного на выходе сточных вод в городскую систему канализации согласно акта балансового разграничения сетей.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В системе канализации города не допускается объединение сточных вод, взаимодействие которых может привести к образованию эмульсий, ядовитых или взрывоопасных газов, а также большого количества нерастворимых веществ, например, сточных вод, содержащих соли кальция или магния, щелочные растворы, соду и кислые воды, сульфид натрия и воды с чрезмерным содержанием щелочи хлора и фенолов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Сброс стоков производится Потребителем только при наличии разрешения на сброс и договора на предоставление услуг по водоснабжению и/или отведению сточных вод, заключенного с Услугодателем.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Разрешение на сброс в систему канализации города </w:t>
      </w:r>
      <w:r>
        <w:br/>
      </w:r>
      <w:r>
        <w:rPr>
          <w:rFonts w:ascii="Times New Roman"/>
          <w:b w:val="false"/>
          <w:i w:val="false"/>
          <w:color w:val="000000"/>
          <w:sz w:val="28"/>
        </w:rPr>
        <w:t xml:space="preserve">
Потребителям выдает Услугодатель.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Разрешение на сброс сточных вод в городскую систему канализации вновь построенным или реконструированным предприятиям выдается после приемки государственной комиссией всего объекта в эксплуатацию по предъявлении акта приемки и только при наличии мощностей действующих очистных сооружений города. </w:t>
      </w:r>
      <w:r>
        <w:br/>
      </w:r>
      <w:r>
        <w:rPr>
          <w:rFonts w:ascii="Times New Roman"/>
          <w:b w:val="false"/>
          <w:i w:val="false"/>
          <w:color w:val="000000"/>
          <w:sz w:val="28"/>
        </w:rPr>
        <w:t xml:space="preserve">
      Если по условиям приема сточных вод на новых предприятиях требуется их локальная очистка, то Услугодатель разрешает присоединение к системе канализации города этих предприятий только после ввода на них в эксплуатацию локальных очистных сооружений, обеспечивающих очистку сточных вод до степени, допустимой для приема их на очистные сооружения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Для получения разрешения на сброс сточных вод в систему канализации города Потребителю необходимо представить Услугодателю: </w:t>
      </w:r>
      <w:r>
        <w:br/>
      </w:r>
      <w:r>
        <w:rPr>
          <w:rFonts w:ascii="Times New Roman"/>
          <w:b w:val="false"/>
          <w:i w:val="false"/>
          <w:color w:val="000000"/>
          <w:sz w:val="28"/>
        </w:rPr>
        <w:t xml:space="preserve">
      заявку на разрешение сброса сточных вод; </w:t>
      </w:r>
      <w:r>
        <w:br/>
      </w:r>
      <w:r>
        <w:rPr>
          <w:rFonts w:ascii="Times New Roman"/>
          <w:b w:val="false"/>
          <w:i w:val="false"/>
          <w:color w:val="000000"/>
          <w:sz w:val="28"/>
        </w:rPr>
        <w:t xml:space="preserve">
      технические условия на присоединение Потребителя к системе городской канализации; </w:t>
      </w:r>
      <w:r>
        <w:br/>
      </w:r>
      <w:r>
        <w:rPr>
          <w:rFonts w:ascii="Times New Roman"/>
          <w:b w:val="false"/>
          <w:i w:val="false"/>
          <w:color w:val="000000"/>
          <w:sz w:val="28"/>
        </w:rPr>
        <w:t xml:space="preserve">
      копию исполнительной схемы внутриплощадочной канализации Потребителя с нанесением выпусков в систему канализации, с указанием контрольных колодцев и привязкой их к местности; </w:t>
      </w:r>
      <w:r>
        <w:br/>
      </w:r>
      <w:r>
        <w:rPr>
          <w:rFonts w:ascii="Times New Roman"/>
          <w:b w:val="false"/>
          <w:i w:val="false"/>
          <w:color w:val="000000"/>
          <w:sz w:val="28"/>
        </w:rPr>
        <w:t xml:space="preserve">
      схему локальных очистных сооружений (если таковые имеются); </w:t>
      </w:r>
      <w:r>
        <w:br/>
      </w:r>
      <w:r>
        <w:rPr>
          <w:rFonts w:ascii="Times New Roman"/>
          <w:b w:val="false"/>
          <w:i w:val="false"/>
          <w:color w:val="000000"/>
          <w:sz w:val="28"/>
        </w:rPr>
        <w:t xml:space="preserve">
      результаты анализов и состав сточных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Услугодатель при подготовке разрешения на сброс сточных вод в городскую систему канализации рассматривает обосновывающие материалы, составленные Потребителем, с учетом предварительной очистки сточных вод или их части на локальных очистных сооружениях Потребителя: </w:t>
      </w:r>
      <w:r>
        <w:br/>
      </w:r>
      <w:r>
        <w:rPr>
          <w:rFonts w:ascii="Times New Roman"/>
          <w:b w:val="false"/>
          <w:i w:val="false"/>
          <w:color w:val="000000"/>
          <w:sz w:val="28"/>
        </w:rPr>
        <w:t xml:space="preserve">
      изменение технологических процессов, позволяющее сократить расход сточных вод и концентрацию содержащихся в них загрязняющих веществ; </w:t>
      </w:r>
      <w:r>
        <w:br/>
      </w:r>
      <w:r>
        <w:rPr>
          <w:rFonts w:ascii="Times New Roman"/>
          <w:b w:val="false"/>
          <w:i w:val="false"/>
          <w:color w:val="000000"/>
          <w:sz w:val="28"/>
        </w:rPr>
        <w:t xml:space="preserve">
      устройство систем оборотного и повторно-последовательного использования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При получении от Потребителя необходимой документации на отведение сточных вод Услугодатель в течение 10 (десяти) дней рассматривает представленные материалы и выдает разрешение на сброс сточных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Разрешение на сброс сточных вод в городскую систему канализации выдается Потребителю на срок, достаточный для выполнения Потребителем требований Постановления, но не более трех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На период выполнения Потребителем технических мероприятий, Услугодатель может устанавливать повышенные нормативы сброса загрязняющих веществ при условии, что они не будут выше средних значений концентраций загрязнений за прошедший год или предшествующий период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При увеличении или уменьшении Потребителем количества отводимых сточных вод, увеличении в них количества и концентрации загрязняющих веществ сверх обусловленных техническими условиями, реконструкции или вводе в эксплуатацию новых канализационных сетей и сооружений, а также при присоединении Субпотребителей сброс канализационных стоков допускается только после получения соответствующего разрешения Услугодателя.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Разрешение на сброс сточных вод может быть аннулировано в случаях изменения системы водоотведения города или несоблюдения Потребителем требований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Потребитель должен содержать ведомственные сети и сооружения канализации в исправном состоянии, осуществлять постоянный контроль за количественным и качественным составом сточных вод, сбрасываемых в систему канализации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Контроль осуществляется путем проведения химического анализа состава сточных вод до и после прохождения через комплекс локальных очистных сооружений по очистке сточных вод, а при отсутствии таковых, в контрольных колодцах в наиболее ответственных точках сети канализации и у выпуска в канализационную сеть города, а также определением количества сбрасываемых сточных вод в контрольных колодцах по каждому выпуску отдельно.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Услугодатель осуществляет контроль за соответствием качественного состава сточных вод требованиям настоящего постановление, а также выданным разрешениям на сброс сточных вод в городскую систему канализации.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Потребители, осуществляющие сброс сточных вод в систему канализации города, должны обеспечить возможность проведения со стороны Услугодателя в любое время суток контроля за сбросом сточных вод, включая предоставление необходимых сведений об объемах, качественном составе сточных вод и режима их сброса по каждому выпуску, а также документов, приборов, устройств, эксплуатационного персонала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Указанный контроль осуществляется группой технологического контроля качества сточных вод при Услугодателе.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Обо всех случаях ухудшения качества очистки сточных вод, залповых сбросах, проведения аварийно-восстановительных работ Потребители должны немедленно информировать Услугодателя, управление госсанэпиднадзора и местные органы по регулированию и охране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При обнаружении в составе городских сточных вод концентраций загрязняющих веществ, являющихся недопустимыми для работы очистных сооружений города, вызванных сбросом сточных вод, Услугодатель информирует об этом территориальное управление охраны окружающей среды. </w:t>
      </w:r>
      <w:r>
        <w:br/>
      </w:r>
      <w:r>
        <w:rPr>
          <w:rFonts w:ascii="Times New Roman"/>
          <w:b w:val="false"/>
          <w:i w:val="false"/>
          <w:color w:val="000000"/>
          <w:sz w:val="28"/>
        </w:rPr>
        <w:t xml:space="preserve">
      Одновременно Услугодатель проводит поиск Потребителя - нарушителя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Потребитель обеспечивает все меры, предупреждающие нарушения требований, установленных постановлением. При обнаружении нарушения Постановления Потребитель немедленно прекращает сброс недопустимо загрязненных сточных вод в систему канализации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Услугодатель имеет право отключить канализационную сеть Потребителя от городской сети канализации с отнесением принесенного ущерба на соответствующих Потребителей при нарушении установленных постановлениями требований по сбросу сточных вод в систему канализации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Услугодатель вправе предъявить Потребителям претензии и иски в установленном порядке о возмещении ущерба, нанесенного системе канализации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При нарушении Потребителем требований настоящего Постановления уполномоченный представитель Услугодателя составляет соответствующий протокол по установленной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В случае сброса сточных вод, в которых находятся загрязняющие вещества, превышающие допустимые концентрации загрязняющих веществ, Услугодатель взимает с Потребителя дополнительную плату за обработку загрязнений, превышающих пределы установленных нормативов согласно правил приема сточных вод в системы канализации населенных пунктов РДС РК 1.04-11-2002.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Количественные параметры загрязнений определяются лабораторией контрольно-испытательного центра Услугодателя по утвержденным методикам.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Размер дополнительной платы определяется по формуле установленный уполномоченным органом в области природных ресурсов 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Основанием для взимания дополнительной платы являются: </w:t>
      </w:r>
      <w:r>
        <w:br/>
      </w:r>
      <w:r>
        <w:rPr>
          <w:rFonts w:ascii="Times New Roman"/>
          <w:b w:val="false"/>
          <w:i w:val="false"/>
          <w:color w:val="000000"/>
          <w:sz w:val="28"/>
        </w:rPr>
        <w:t xml:space="preserve">
      расчет дополнительной платы; </w:t>
      </w:r>
      <w:r>
        <w:br/>
      </w:r>
      <w:r>
        <w:rPr>
          <w:rFonts w:ascii="Times New Roman"/>
          <w:b w:val="false"/>
          <w:i w:val="false"/>
          <w:color w:val="000000"/>
          <w:sz w:val="28"/>
        </w:rPr>
        <w:t xml:space="preserve">
      акт отбора проб сточных вод; </w:t>
      </w:r>
      <w:r>
        <w:br/>
      </w:r>
      <w:r>
        <w:rPr>
          <w:rFonts w:ascii="Times New Roman"/>
          <w:b w:val="false"/>
          <w:i w:val="false"/>
          <w:color w:val="000000"/>
          <w:sz w:val="28"/>
        </w:rPr>
        <w:t xml:space="preserve">
      протокол результатов анализов сточных вод с установленной Услугодателем фактической величиной концентрации загрязняющих веществ.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Расчет дополнительной платы производится Услугодателем по каждому выпуску отдельно. В случае непредставления Потребителем расходов по каждому выпуску дополнительная плата рассчитывается по максимально загрязненному выпуску на весь объем стоков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Дополнительная плата начисляется за период с момента обнаружения сброса загрязнений сверх установленных нормативов по день устранения сброса этих загрязнений. Время устранения сброса загрязняющих веществ в систему канализации констатирует Услугодатель при повторном контроле (отборе проб) сточных вод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В случае, когда Потребитель не извещает Услугодателя об устранении данного нарушения или повторная проверка (отбор проб) Услугодателя не подтвердила устранение Потребителем сброса загрязнений сверх установленных нормативов, то Услугодатель вправе считать, что в систему канализации продолжают поступать загрязненные сточные воды. Повторные проверки Услугодателем качественного состава сточных вод Потребителя производятся за счет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При сбросе Потребителем сточных вод в систему канализации с отклонением водородного показателя на каждые 0,5 единиц от установленных норм, с Потребителя взимается дополнительная плата в размере 2-х кратного действующего тарифа за каждый м </w:t>
      </w:r>
      <w:r>
        <w:rPr>
          <w:rFonts w:ascii="Times New Roman"/>
          <w:b w:val="false"/>
          <w:i w:val="false"/>
          <w:color w:val="000000"/>
          <w:vertAlign w:val="superscript"/>
        </w:rPr>
        <w:t xml:space="preserve">3  </w:t>
      </w:r>
      <w:r>
        <w:rPr>
          <w:rFonts w:ascii="Times New Roman"/>
          <w:b w:val="false"/>
          <w:i w:val="false"/>
          <w:color w:val="000000"/>
          <w:sz w:val="28"/>
        </w:rPr>
        <w:t xml:space="preserve">сброшенных стоков.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В случае, когда Потребитель в течение одного часа, с момента его оповещения, не обеспечил возможность представителю Услугодателя произвести отбор проб сточных вод из контрольного колодца в присутствии своего представителя, то отбор проб производится Услугодателем в одностороннем порядке и составленный при этом акт отбора проб считается надлежаще оформленным.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42.При не обеспечении Услугодателю возможности произвести отбор проб из контрольного колодца, то применяется величина концентрации загрязняющих веществ, установленная при последней проверке сточных вод, поступивших от Потребителя в систему канализации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Если Потребитель не известил Услугодателя о залповом сбросе загрязняющих веществ со сточными водами в систему канализации, то расчет производится за весь объем сточных вод, принятых Услугодателем от Потребителя за период с момента последней проверки (отбора проб) Услугодателя.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В случае предъявления иска к Услугодателю со стороны местных органов по регулированию и охране вод, Услугодатель вправе предъявить регрессный иск к конкретному Потребителю, допустившему сброс сточных вод с составом, приведшим к загрязнению водного объекта.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При залповом сбросе загрязняющих веществ со сточными водами в систему канализации дополнительная оплата не снимает ответственность с Потребителя за возмещение ущерба, нанесенного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При неоднократном сбросе Потребителем в систему канализации загрязняющих веществ, запрещенных настоящим постановление, Услугодатель вправе не допустить таких Потребителей к сбросу сточных вод в систему канализации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47.Услугодатель: </w:t>
      </w:r>
      <w:r>
        <w:br/>
      </w:r>
      <w:r>
        <w:rPr>
          <w:rFonts w:ascii="Times New Roman"/>
          <w:b w:val="false"/>
          <w:i w:val="false"/>
          <w:color w:val="000000"/>
          <w:sz w:val="28"/>
        </w:rPr>
        <w:t xml:space="preserve">
      1)несет ответственность за: </w:t>
      </w:r>
      <w:r>
        <w:br/>
      </w:r>
      <w:r>
        <w:rPr>
          <w:rFonts w:ascii="Times New Roman"/>
          <w:b w:val="false"/>
          <w:i w:val="false"/>
          <w:color w:val="000000"/>
          <w:sz w:val="28"/>
        </w:rPr>
        <w:t xml:space="preserve">
      техническое состояние городской системы канализации; </w:t>
      </w:r>
      <w:r>
        <w:br/>
      </w:r>
      <w:r>
        <w:rPr>
          <w:rFonts w:ascii="Times New Roman"/>
          <w:b w:val="false"/>
          <w:i w:val="false"/>
          <w:color w:val="000000"/>
          <w:sz w:val="28"/>
        </w:rPr>
        <w:t xml:space="preserve">
      эффективную работу очистных сооружений; </w:t>
      </w:r>
      <w:r>
        <w:br/>
      </w:r>
      <w:r>
        <w:rPr>
          <w:rFonts w:ascii="Times New Roman"/>
          <w:b w:val="false"/>
          <w:i w:val="false"/>
          <w:color w:val="000000"/>
          <w:sz w:val="28"/>
        </w:rPr>
        <w:t xml:space="preserve">
      соблюдение настоящего Постановления; </w:t>
      </w:r>
      <w:r>
        <w:br/>
      </w:r>
      <w:r>
        <w:rPr>
          <w:rFonts w:ascii="Times New Roman"/>
          <w:b w:val="false"/>
          <w:i w:val="false"/>
          <w:color w:val="000000"/>
          <w:sz w:val="28"/>
        </w:rPr>
        <w:t xml:space="preserve">
      своевременное принятие мер к нарушителям Постановления; </w:t>
      </w:r>
      <w:r>
        <w:br/>
      </w:r>
      <w:r>
        <w:rPr>
          <w:rFonts w:ascii="Times New Roman"/>
          <w:b w:val="false"/>
          <w:i w:val="false"/>
          <w:color w:val="000000"/>
          <w:sz w:val="28"/>
        </w:rPr>
        <w:t xml:space="preserve">
      2) предоставляет информацию о нарушителях Постановления в территориальное управление охраны окружающей среды и местные органы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Группа технологического контроля качества производственных сточных вод (далее - Группа) организуется в составе контрольно-испытательного центра Услугодателя и находится в подчинении у начальника центра. В своей деятельности Группа руководствуется настоящим постановлением и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Основной задачей Группы является разработка Постановления, выдача разрешений Потребителям на сброс сточных вод в систему канализации города, необходимый контроль за соблюдением Постановления в целях обеспечения нормальной работы системы канализации города, контроль за состоянием канализационных сетей и локальных очистных сооружений, находящихся на балансе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Кадровый состав Группы формируется из специалистов в области очистки сточных вод и ее анализа.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Численный состав Группы устанавливается в зависимости от числа Потребителей, направляющих сточные воды в систему канализации города, и мощности их водоотведения. Ориентировочно инженер-технолог может контролировать сброс 30 тыс. м </w:t>
      </w:r>
      <w:r>
        <w:rPr>
          <w:rFonts w:ascii="Times New Roman"/>
          <w:b w:val="false"/>
          <w:i w:val="false"/>
          <w:color w:val="000000"/>
          <w:vertAlign w:val="superscript"/>
        </w:rPr>
        <w:t xml:space="preserve">3  </w:t>
      </w:r>
      <w:r>
        <w:rPr>
          <w:rFonts w:ascii="Times New Roman"/>
          <w:b w:val="false"/>
          <w:i w:val="false"/>
          <w:color w:val="000000"/>
          <w:sz w:val="28"/>
        </w:rPr>
        <w:t xml:space="preserve">сточных вод в сутки.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Организационно-технические вопросы контроля за качественным составом сточных вод решаются совместно специалистами Группы и лаборатории Услугодателя.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53.Для осуществления химического контроля сточных вод Потребителей Услугодателем должны быть выделены лабораторные помещения, оборудование, приборы, реактивы, химическая посуда. Доставка проб осуществляется транспортом.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Методы химического анализа отдельных веществ выбираются с учетом требований, предъявляемых к точности определения, длительности анализа, его трудоемкости, стоимости и дефицитности применяемых реактивов, наличия приборов, реактивов и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Внедрению новых видов анализа должна предшествовать работа по освоению соответствующих методов и приборов. После определения целесообразности использования апробированного метода необходимые дополнительные приборы заказываются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56.Основными задачами химического контроля являются: осуществление химического контроля сточных вод Потребителей, оформление результатов анализов сточных вод, составление соответствующих отчетов.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Специалисты Группы производят отбор проб сточных вод в контрольных точках на канализационной сети Потребителя с составлением акта отбора проб в двух экземплярах, один из которых предоставляется Потребителю. Одним актом допускается оформлять отбор проб с нескольких выпусков. </w:t>
      </w:r>
      <w:r>
        <w:br/>
      </w:r>
      <w:r>
        <w:rPr>
          <w:rFonts w:ascii="Times New Roman"/>
          <w:b w:val="false"/>
          <w:i w:val="false"/>
          <w:color w:val="000000"/>
          <w:sz w:val="28"/>
        </w:rPr>
        <w:t xml:space="preserve">
      Объем сточных вод, отбираемых на анализ, устанавливается в зависимости от используемого метода определения конкретного ингредиента. При отборе проб сточных вод Потребителей составляется акт об отборе проб, в котором указывается дата, место, цели отбора, характер пробы. Акт подписывается представителем Потребителя и специалистом Группы, который отобрал пробу.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Отобранные пробы сточных вод доставляются в лабораторию Услугодателя для проведения химического анализа качественного состава сточных вод по перечню компонентов указанных специалистами Группы в акте отбора проб.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Ход анализа регистрируется в рабочем журнале, в котором отмечаются дата выполнения, все численные значения, необходимые для последующего вычисления результатов и основные показатели процесса анализа.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Анализ проб сточных вод выполняется по аттестованным методикам аккредитованной в установленном порядке лабораторией Услугодателя.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При проведении анализа проб сточных вод Потребителя, сбрасываемых в систему канализации, на соответствие их установленным нормативам, Услугодатель обеспечивает возможность наблюдения представителю Потребителя за ходом проведения анализов.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Пробы, поступившие в лабораторию Услугодателя, регистрируются в рабочем журнале, где указывается наименование Потребителя, номер емкости, контролируемые ингредиенты, результаты анализа, дата выполнения, фамилия исполнителя.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Объем аналитического контроля, выполняемый лабораторией, устанавливается еженедельно руководителем Группы, исходя из числа Потребителей, подлежащих контролю, а также учитывая фактическую численность работников, сложность и длительность выполняемых определений.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Результат анализа оформляется на бланке установленной формы с указанием наименования Потребителя, даты отбора, кем и в присутствии кого отобрана проба. Бланки подписываются начальником лаборатории, исполнителем и передаются в Группу.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Потребитель и Услугодатель вправе направить одновременно отобранные пробы на независимую экспертизу, на что составляется акт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Отбор проб, транспортировка, подготовка проб для анализа, проведение анализа проб сточных вод, сбрасываемых в систему канализации, осуществляется согласно действующим стандартам, инструкциям и методам, установленным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Если Потребитель переходит на иную технологию производства, при которой возможно изменение состава сточных вод, сбрасываемых в систему канализации города, то он заблаговременно ставит в известность Услугодателя о планируемом изменении состава сточных вод с указанием периода, в течение которого это изменение произойдет. При получении этой информации Услугодатель производит совместно с Потребителем обследование технологического процесса по вопросу качественного и количественного состава сточных вод. Выявленные в результате обследования загрязняющие вещества в сточных водах нормируются Услугодателем в порядке, и доводятся до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На проведение анализа отводится время, предусмотренное действующей методикой выполнения анализов. Проведение анализов по графику осуществляется за счет Услугодателя, а по заявке Потребителя - за счет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В случае обнаружения загрязняющих веществ сверх допустимой концентрации Потребитель обязан прекратить сброс сточных вод в систему канализации города и принять меры по снижению загрязнений до установленных пределов.  </w:t>
      </w:r>
      <w:r>
        <w:br/>
      </w:r>
      <w:r>
        <w:rPr>
          <w:rFonts w:ascii="Times New Roman"/>
          <w:b w:val="false"/>
          <w:i w:val="false"/>
          <w:color w:val="000000"/>
          <w:sz w:val="28"/>
        </w:rPr>
        <w:t xml:space="preserve">
      После устранения причин, вызывающих превышение содержания загрязняющих веществ, Потребитель подает заявку на повторный отбор проб.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Настоящее постановление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color w:val="000000"/>
          <w:sz w:val="28"/>
        </w:rPr>
        <w:t xml:space="preserve">       Аким города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