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8da0" w14:textId="bf08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на территории Тюлькубасского и Ордабасинского районов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N 340 от 19 ноября 2007 года. Зарегистрировано департаментом Юстиции Южно-Казахстанской области 30 ноября 2007 года за N 1967. Утратило силу постановлением акимата Южно-Казахстанской области от 10 июля 2017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10.07.2017 № 182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9-1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14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карантине растений"" и на основании представления Южно-Казахстанской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12 сентября 2007 года № 4-14/950, в связи с выявлением карантинных объектов непарного шелкопряда, калифорнийской щитовки, восточной плодожорки, червеца Комстока в Тюлькубасском районе и калифорнийской щитовки, восточной плодожорки в Ордабасинском районе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карантинную зону с введением карантинного режима на сельскохозяйственных угодьях сельских округов Мичурин, Т.Рыскулова Тюлькубасского района и сельских округов Кажымукан, Шубар, Караспан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Ордабасинского района, согласно приложению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Акимам Тюлькубасского и Ордабасинского районов оказать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содействие в организации и проведении мероприятий по карантину растений согласно пункту 1 настоящего постановления.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постановлением акимата Южно-Казахстанской области от 17.05.2013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первого заместителя акима области Абишева И.А.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Первый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ноября 2007 года № 340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</w:t>
      </w:r>
      <w:r>
        <w:br/>
      </w:r>
      <w:r>
        <w:rPr>
          <w:rFonts w:ascii="Times New Roman"/>
          <w:b/>
          <w:i w:val="false"/>
          <w:color w:val="000000"/>
        </w:rPr>
        <w:t>на очагах карантинных объектов на территории</w:t>
      </w:r>
      <w:r>
        <w:br/>
      </w:r>
      <w:r>
        <w:rPr>
          <w:rFonts w:ascii="Times New Roman"/>
          <w:b/>
          <w:i w:val="false"/>
          <w:color w:val="000000"/>
        </w:rPr>
        <w:t>Тюлькубасского, Ордабасинского районов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2984"/>
        <w:gridCol w:w="5421"/>
        <w:gridCol w:w="2986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района 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сельского округа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Карантинный объект 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Тюлькубасский </w:t>
            </w:r>
          </w:p>
        </w:tc>
        <w:tc>
          <w:tcPr>
            <w:tcW w:w="5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Мичурин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Калифорнийская щитовка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плодожорка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Непарный шелкопряд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Червец Комсток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Т.Рыскулов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Калифорнийская щитовка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плодожорка 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Ордабасинский </w:t>
            </w:r>
          </w:p>
        </w:tc>
        <w:tc>
          <w:tcPr>
            <w:tcW w:w="5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Шубар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Калифорнийская щитовка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плодожорка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Кажымухан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Калифорнийская щитовка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Караспан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Калифорнийская щитовка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