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20fc" w14:textId="a3f2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выдачи справок безработным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354. Зарегистрировано Управлением юстиции Жамбылского района Северо-Казахстанской области 25 января 2008 года N 13-7-72.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«Выдача справок безработным гражданам»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безработным гражданам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социальной помощи имеют граждане, состоящие на учете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 - 5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оралманы предоставляют удостоверение оралмана, выданное территориальными органами уполномоченного органа по вопросам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(заявления и т.п.) выдаются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  занятости и социальных программ Жамбылского района» по адресу: Северо-Казахстанская область Жамбылский района село Пресновка улица Дружбы № 6 кабинет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 Жамбылский района село Пресновка улица Дружбы № 6, кабинет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предоставление неполного перечня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не зарегистрирован в отделе занятости и социальных программ Жамбылского района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 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№6 (первый этаж), кабинет №4,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области», адрес: Северо–Казахстанская область, город Петропавловск, улица Абая, 64, телефон 465648, кабинет № 213,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