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cf2b" w14:textId="cccc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20 августа 2007 года № 218. Зарегистрирован в Министерстве юстиции Республики Казахстан 12 сентября 2007 года № 4925. Утратил силу приказом Министра культуры Республики Казахстан от 5 декабря 2011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Республики Казахстан от 05.12.2011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и режим использования охранных зон, зон регулирования застройки и зон охраняемого природного ландшафта объектов историко-культурного наследия.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историко-культурного наследия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настоящего приказа возложить на вице-министра Бурибаева А. 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2007 года N 218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и режима использования охранных зон, </w:t>
      </w:r>
      <w:r>
        <w:br/>
      </w:r>
      <w:r>
        <w:rPr>
          <w:rFonts w:ascii="Times New Roman"/>
          <w:b/>
          <w:i w:val="false"/>
          <w:color w:val="000000"/>
        </w:rPr>
        <w:t xml:space="preserve">
зон регулирования застройки и зон охраняемого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ландшафта объектов историко-культурного наследия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Границы охранных зон, зон регулирования застройки и зон охраняемого природного ландшафта объектов историко-культурного наследия утверждаются местными представительными органами (маслихатами) областей (города республиканского значения, столицы) по представлению соответствующих местных исполнительных органов и вносятся в историко-архитектурный опорный план и карту-схему соответствующей местности, где фиксируется расположение памятников истории и культуры и вновь выявленных объектов.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Ансамбли и комплексы объектов историко-культурного наследия, представляющие особую историческую, научную, художественную или иную культурную ценность, могут быть объявлены историко-культурными заповедниками, охранные зоны, зоны регулирования застройки и зоны охраняемого природного ландшафта которых, устанавливаются на основании положения о них.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Охранная зона объектов историко-культурного наследия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Охранная зона вокруг объектов историко-культурного наследия отмечается охранными знаками или распаханной полосой, или ограждениями, или кустарниковыми насаждениями по линии их границ.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Памятники археологии должны быть окружены охранной зоной 50 метров от границ памятников, при группе памятников - от границ крайних объектов, для памятников археологии, которым должна быть обеспечена обозримость, радиус охранной зоны должен быть равен 200-300 метров.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Памятники градостроительства и архитектуры должны быть окружены охранной зоной равной величине расстояния от земли до его наиболее высокой точки, но не менее 20 метров.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Зоны регулирования застройки и охраняемого природного ландшафта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историко-культурного наследия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Зона регулирования застройки устанавливается равной двум величинам размера охранной зоны. Зона регулирования застройки отмеряется от края охранной зоны.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Зона охраняемого природного ландшафта объекта историко-культурного наследия устанавливается равной величине зоны регулирования застройки. Зона охраняемого природного ландшафта отмеряется от края зоны регулирования застройки.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Режим использования охранных зон, зон регулирования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застройки и зон охраняемого природного ландшафта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историко-культурного наследия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Охранная зона устанавливается для обеспечения сохранности объекта историко-культурного наследия и прилегающей к его территории исторически сложившейся среды, для создания условий, способствующих выявлению исторической, научной, художественной или иной культурной ценности объекта историко-культурного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охранной зоны не должны производиться работы, которые могут оказать вредное воздействие на сохранность объекта историко-культурного наследия, на его историко-культурное восприятие.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населенных мест, пейзажа, для обеспечения гармонического единства объекта историко-культурного наследия с современной градостроительной или природной средой.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зоны регулирования застройки подлежит регулированию характер строительства: масштабность, этажность, плотность и функциональное назначение застройки не должны входить в противоречие с исторически сложившейся средой объектов историко-культурного наследия.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зоны охраняемого природного ландшафта подлежат сохранению и восстановлению исторически сложившиеся рельеф местности, характер растительности, системы дорог, водоемов, планировочных, композиционных и иных элементов. Подлежат регулированию характер землепользования, сельскохозяйственной или иной деятельности: могут быть разрешены виды, которые не вызывают изменения характера ландшафта, системы водоснабжения, растительности и других, предусмотренных режимом зоны, элементов.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