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6a40" w14:textId="7e86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N 225 "Об утверждении Правил осуществления деятельности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28 мая 2007 года N 153. Зарегистрировано в Министерстве юстиции Республики Казахстан 2 июля 2007 года N 4773.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 189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 189</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организаций, осуществляющих деятельность по инвестиционному управлению пенсионными активами,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Внести в постановление Правления Агентства от 27 октября 2006 года  </w:t>
      </w:r>
      <w:r>
        <w:rPr>
          <w:rFonts w:ascii="Times New Roman"/>
          <w:b w:val="false"/>
          <w:i w:val="false"/>
          <w:color w:val="000000"/>
          <w:sz w:val="28"/>
        </w:rPr>
        <w:t xml:space="preserve">N 225 </w:t>
      </w:r>
      <w:r>
        <w:rPr>
          <w:rFonts w:ascii="Times New Roman"/>
          <w:b w:val="false"/>
          <w:i w:val="false"/>
          <w:color w:val="000000"/>
          <w:sz w:val="28"/>
        </w:rPr>
        <w:t xml:space="preserve">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N 4486) следующие дополнения: </w:t>
      </w:r>
      <w:r>
        <w:br/>
      </w:r>
      <w:r>
        <w:rPr>
          <w:rFonts w:ascii="Times New Roman"/>
          <w:b w:val="false"/>
          <w:i w:val="false"/>
          <w:color w:val="000000"/>
          <w:sz w:val="28"/>
        </w:rPr>
        <w:t xml:space="preserve">
      в Правилах осуществления деятельности по инвестиционному управлению пенсионными активами, утвержденных указанным постановлением: </w:t>
      </w:r>
      <w:r>
        <w:br/>
      </w:r>
      <w:r>
        <w:rPr>
          <w:rFonts w:ascii="Times New Roman"/>
          <w:b w:val="false"/>
          <w:i w:val="false"/>
          <w:color w:val="000000"/>
          <w:sz w:val="28"/>
        </w:rPr>
        <w:t xml:space="preserve">
      дополнить главой 4-1 следующего содержания: </w:t>
      </w:r>
    </w:p>
    <w:p>
      <w:pPr>
        <w:spacing w:after="0"/>
        <w:ind w:left="0"/>
        <w:jc w:val="both"/>
      </w:pPr>
      <w:r>
        <w:rPr>
          <w:rFonts w:ascii="Times New Roman"/>
          <w:b/>
          <w:i w:val="false"/>
          <w:color w:val="000080"/>
          <w:sz w:val="28"/>
        </w:rPr>
        <w:t xml:space="preserve">"Глава 4-1. Передача пенсионных активов </w:t>
      </w:r>
    </w:p>
    <w:p>
      <w:pPr>
        <w:spacing w:after="0"/>
        <w:ind w:left="0"/>
        <w:jc w:val="both"/>
      </w:pPr>
      <w:r>
        <w:rPr>
          <w:rFonts w:ascii="Times New Roman"/>
          <w:b w:val="false"/>
          <w:i w:val="false"/>
          <w:color w:val="000000"/>
          <w:sz w:val="28"/>
        </w:rPr>
        <w:t xml:space="preserve">      31-1. Накопительный пенсионный фонд либо Организация (Фонд), намеревающиеся расторгнуть договор на инвестиционное управление пенсионными активами (далее - договор) в письменной форме уведомляет о расторжении договора Организацию либо накопительный пенсионный фонд, за двадцать дней до намеченной даты расторжения с указанием фактической даты расторжения. </w:t>
      </w:r>
      <w:r>
        <w:br/>
      </w:r>
      <w:r>
        <w:rPr>
          <w:rFonts w:ascii="Times New Roman"/>
          <w:b w:val="false"/>
          <w:i w:val="false"/>
          <w:color w:val="000000"/>
          <w:sz w:val="28"/>
        </w:rPr>
        <w:t xml:space="preserve">
      31-2. Не менее чем за десять рабочих дней до даты расторжения договора на инвестиционное управление пенсионными активами, указанной в уведомлении о его расторжении или определенной в соответствии с условиями договора, на основании приказа первого руководителя юридического лица - инициатора расторжения договора создается согласительная комиссия. </w:t>
      </w:r>
      <w:r>
        <w:br/>
      </w:r>
      <w:r>
        <w:rPr>
          <w:rFonts w:ascii="Times New Roman"/>
          <w:b w:val="false"/>
          <w:i w:val="false"/>
          <w:color w:val="000000"/>
          <w:sz w:val="28"/>
        </w:rPr>
        <w:t xml:space="preserve">
      31-3. Согласительная комиссия состоит из уполномоченных представителей накопительного пенсионного фонда, Организации, с которой расторгается договор на инвестиционное управление пенсионными активами, и передающей пенсионные активы накопительного пенсионного фонда в инвестиционное управление другой Организации, либо Фонду (далее - передающая организация) и Организации, с которой заключается договор на инвестиционное управление пенсионными активами, либо Фонда (далее - принимающая организация). </w:t>
      </w:r>
      <w:r>
        <w:br/>
      </w:r>
      <w:r>
        <w:rPr>
          <w:rFonts w:ascii="Times New Roman"/>
          <w:b w:val="false"/>
          <w:i w:val="false"/>
          <w:color w:val="000000"/>
          <w:sz w:val="28"/>
        </w:rPr>
        <w:t xml:space="preserve">
      31-4. Согласительная комиссия: </w:t>
      </w:r>
      <w:r>
        <w:br/>
      </w:r>
      <w:r>
        <w:rPr>
          <w:rFonts w:ascii="Times New Roman"/>
          <w:b w:val="false"/>
          <w:i w:val="false"/>
          <w:color w:val="000000"/>
          <w:sz w:val="28"/>
        </w:rPr>
        <w:t xml:space="preserve">
      1) осуществляет инвентаризацию пенсионных активов по состоянию на дату расторжения договора; </w:t>
      </w:r>
      <w:r>
        <w:br/>
      </w:r>
      <w:r>
        <w:rPr>
          <w:rFonts w:ascii="Times New Roman"/>
          <w:b w:val="false"/>
          <w:i w:val="false"/>
          <w:color w:val="000000"/>
          <w:sz w:val="28"/>
        </w:rPr>
        <w:t xml:space="preserve">
      2) определяет способы и сроки передачи от передающей организации к принимающей организации документов, указанных в пункте 31-5 настоящих Правил; </w:t>
      </w:r>
      <w:r>
        <w:br/>
      </w:r>
      <w:r>
        <w:rPr>
          <w:rFonts w:ascii="Times New Roman"/>
          <w:b w:val="false"/>
          <w:i w:val="false"/>
          <w:color w:val="000000"/>
          <w:sz w:val="28"/>
        </w:rPr>
        <w:t xml:space="preserve">
      3) определяет способы и сроки передачи пенсионных активов от передающей организации к принимающей организации. </w:t>
      </w:r>
      <w:r>
        <w:br/>
      </w:r>
      <w:r>
        <w:rPr>
          <w:rFonts w:ascii="Times New Roman"/>
          <w:b w:val="false"/>
          <w:i w:val="false"/>
          <w:color w:val="000000"/>
          <w:sz w:val="28"/>
        </w:rPr>
        <w:t xml:space="preserve">
      31-5. В ходе работы согласительной комиссии передающая организация передает принимающей организации следующие документы за весь период инвестиционного управления передающей организацией пенсионными активами накопительного пенсионного фонда: </w:t>
      </w:r>
      <w:r>
        <w:br/>
      </w:r>
      <w:r>
        <w:rPr>
          <w:rFonts w:ascii="Times New Roman"/>
          <w:b w:val="false"/>
          <w:i w:val="false"/>
          <w:color w:val="000000"/>
          <w:sz w:val="28"/>
        </w:rPr>
        <w:t xml:space="preserve">
      1) копии поручений передающей организации организациям, осуществляющим (осуществлявшим) брокерскую и дилерскую деятельность на рынке ценных бумаг, на заключение сделок с ценными бумагами за счет пенсионных активов; </w:t>
      </w:r>
      <w:r>
        <w:br/>
      </w:r>
      <w:r>
        <w:rPr>
          <w:rFonts w:ascii="Times New Roman"/>
          <w:b w:val="false"/>
          <w:i w:val="false"/>
          <w:color w:val="000000"/>
          <w:sz w:val="28"/>
        </w:rPr>
        <w:t xml:space="preserve">
      2) копии отчетов организаций, осуществляющих (осуществлявших) брокерскую и дилерскую деятельность на рынке ценных бумаг, об исполнении поручений передающей организации на заключение сделок с ценными бумагами за счет пенсионных активов; </w:t>
      </w:r>
      <w:r>
        <w:br/>
      </w:r>
      <w:r>
        <w:rPr>
          <w:rFonts w:ascii="Times New Roman"/>
          <w:b w:val="false"/>
          <w:i w:val="false"/>
          <w:color w:val="000000"/>
          <w:sz w:val="28"/>
        </w:rPr>
        <w:t xml:space="preserve">
      3) при самостоятельном заключении передающей организацией сделок с ценными бумагами за счет пенсионных активов - копии документов, подтверждающих заключение таких сделок; </w:t>
      </w:r>
      <w:r>
        <w:br/>
      </w:r>
      <w:r>
        <w:rPr>
          <w:rFonts w:ascii="Times New Roman"/>
          <w:b w:val="false"/>
          <w:i w:val="false"/>
          <w:color w:val="000000"/>
          <w:sz w:val="28"/>
        </w:rPr>
        <w:t xml:space="preserve">
      4) копии выданных банком-кастодианом накопительного пенсионного фонда выписок с его инвестиционного счета; </w:t>
      </w:r>
      <w:r>
        <w:br/>
      </w:r>
      <w:r>
        <w:rPr>
          <w:rFonts w:ascii="Times New Roman"/>
          <w:b w:val="false"/>
          <w:i w:val="false"/>
          <w:color w:val="000000"/>
          <w:sz w:val="28"/>
        </w:rPr>
        <w:t xml:space="preserve">
      5) копии выданных центральным депозитарием выписок с субсчета "ДЕПО" пенсионных активов накопительного пенсионного фонда; </w:t>
      </w:r>
      <w:r>
        <w:br/>
      </w:r>
      <w:r>
        <w:rPr>
          <w:rFonts w:ascii="Times New Roman"/>
          <w:b w:val="false"/>
          <w:i w:val="false"/>
          <w:color w:val="000000"/>
          <w:sz w:val="28"/>
        </w:rPr>
        <w:t xml:space="preserve">
      6) оригиналы действующих на день передачи пенсионных активов договоров банковского вклада с банками второго уровня (депозитных сертификатов банков второго уровня), заключенных (приобретенных) за счет пенсионных активов; </w:t>
      </w:r>
      <w:r>
        <w:br/>
      </w:r>
      <w:r>
        <w:rPr>
          <w:rFonts w:ascii="Times New Roman"/>
          <w:b w:val="false"/>
          <w:i w:val="false"/>
          <w:color w:val="000000"/>
          <w:sz w:val="28"/>
        </w:rPr>
        <w:t xml:space="preserve">
      7) копии договоров банковского вклада с банками второго уровня, заключенных за счет пенсионных активов, срок которых истек на день передачи пенсионных активов; </w:t>
      </w:r>
      <w:r>
        <w:br/>
      </w:r>
      <w:r>
        <w:rPr>
          <w:rFonts w:ascii="Times New Roman"/>
          <w:b w:val="false"/>
          <w:i w:val="false"/>
          <w:color w:val="000000"/>
          <w:sz w:val="28"/>
        </w:rPr>
        <w:t xml:space="preserve">
      8) копии представленных уполномоченному органу справок о средней стоимости одной условной единицы пенсионных активов за месяцы, предшествующие дате расторжения договора; </w:t>
      </w:r>
      <w:r>
        <w:br/>
      </w:r>
      <w:r>
        <w:rPr>
          <w:rFonts w:ascii="Times New Roman"/>
          <w:b w:val="false"/>
          <w:i w:val="false"/>
          <w:color w:val="000000"/>
          <w:sz w:val="28"/>
        </w:rPr>
        <w:t xml:space="preserve">
      9) иные документы, относящиеся к инвестиционному управлению пенсионными активами передающей организацией (по согласованию членов согласительной комиссии). </w:t>
      </w:r>
      <w:r>
        <w:br/>
      </w:r>
      <w:r>
        <w:rPr>
          <w:rFonts w:ascii="Times New Roman"/>
          <w:b w:val="false"/>
          <w:i w:val="false"/>
          <w:color w:val="000000"/>
          <w:sz w:val="28"/>
        </w:rPr>
        <w:t xml:space="preserve">
      31-6. По результатам работы согласительной комиссии оформляется акт приема - передачи пенсионных активов, который содержит следующие сведения: </w:t>
      </w:r>
      <w:r>
        <w:br/>
      </w:r>
      <w:r>
        <w:rPr>
          <w:rFonts w:ascii="Times New Roman"/>
          <w:b w:val="false"/>
          <w:i w:val="false"/>
          <w:color w:val="000000"/>
          <w:sz w:val="28"/>
        </w:rPr>
        <w:t xml:space="preserve">
      1) полное наименование накопительного пенсионного фонда, передающей организации, принимающей организации и банка-кастодиана накопительного пенсионного фонда, (в соответствии со свидетельствами о государственной (пере)регистрации названных организаций); </w:t>
      </w:r>
      <w:r>
        <w:br/>
      </w:r>
      <w:r>
        <w:rPr>
          <w:rFonts w:ascii="Times New Roman"/>
          <w:b w:val="false"/>
          <w:i w:val="false"/>
          <w:color w:val="000000"/>
          <w:sz w:val="28"/>
        </w:rPr>
        <w:t xml:space="preserve">
      2) зарегистрированное (в соответствии со свидетельствами о государственной (пере)регистрации или статистическими карточками) и фактическое место нахождения накопительного пенсионного фонда, передающей организации и принимающей организации; </w:t>
      </w:r>
      <w:r>
        <w:br/>
      </w:r>
      <w:r>
        <w:rPr>
          <w:rFonts w:ascii="Times New Roman"/>
          <w:b w:val="false"/>
          <w:i w:val="false"/>
          <w:color w:val="000000"/>
          <w:sz w:val="28"/>
        </w:rPr>
        <w:t xml:space="preserve">
      3) банковские реквизиты накопительного пенсионного фонда, передающей организации и принимающей организации; </w:t>
      </w:r>
      <w:r>
        <w:br/>
      </w:r>
      <w:r>
        <w:rPr>
          <w:rFonts w:ascii="Times New Roman"/>
          <w:b w:val="false"/>
          <w:i w:val="false"/>
          <w:color w:val="000000"/>
          <w:sz w:val="28"/>
        </w:rPr>
        <w:t xml:space="preserve">
      4) номер и дата выдачи лицензии накопительного пенсионного фонда, передающей организации и принимающей организации на осуществление соответствующих видов деятельности; </w:t>
      </w:r>
      <w:r>
        <w:br/>
      </w:r>
      <w:r>
        <w:rPr>
          <w:rFonts w:ascii="Times New Roman"/>
          <w:b w:val="false"/>
          <w:i w:val="false"/>
          <w:color w:val="000000"/>
          <w:sz w:val="28"/>
        </w:rPr>
        <w:t xml:space="preserve">
      5) фамилия, имя, при наличии - отчество первого руководителя и главного бухгалтера накопительного пенсионного фонда, передающей организации и принимающей организации; </w:t>
      </w:r>
      <w:r>
        <w:br/>
      </w:r>
      <w:r>
        <w:rPr>
          <w:rFonts w:ascii="Times New Roman"/>
          <w:b w:val="false"/>
          <w:i w:val="false"/>
          <w:color w:val="000000"/>
          <w:sz w:val="28"/>
        </w:rPr>
        <w:t xml:space="preserve">
      6) суммарная величина инвестиций за счет пенсионных активов по текущей стоимости (включая начисленный доход); </w:t>
      </w:r>
      <w:r>
        <w:br/>
      </w:r>
      <w:r>
        <w:rPr>
          <w:rFonts w:ascii="Times New Roman"/>
          <w:b w:val="false"/>
          <w:i w:val="false"/>
          <w:color w:val="000000"/>
          <w:sz w:val="28"/>
        </w:rPr>
        <w:t xml:space="preserve">
      7) сумма произведенных переводов с инвестиционного счета накопительного пенсионного фонда на его счет пенсионных выплат (с учетом обратно поступивших денег на инвестиционный счет); </w:t>
      </w:r>
      <w:r>
        <w:br/>
      </w:r>
      <w:r>
        <w:rPr>
          <w:rFonts w:ascii="Times New Roman"/>
          <w:b w:val="false"/>
          <w:i w:val="false"/>
          <w:color w:val="000000"/>
          <w:sz w:val="28"/>
        </w:rPr>
        <w:t xml:space="preserve">
      8) остаток денег на инвестиционных счетах в национальной и в иностранной валюте; </w:t>
      </w:r>
      <w:r>
        <w:br/>
      </w:r>
      <w:r>
        <w:rPr>
          <w:rFonts w:ascii="Times New Roman"/>
          <w:b w:val="false"/>
          <w:i w:val="false"/>
          <w:color w:val="000000"/>
          <w:sz w:val="28"/>
        </w:rPr>
        <w:t xml:space="preserve">
      9) перечень передаваемых ценных бумаг с указанием их национальных идентификационных номеров, количества (в штуках), цены приобретения, начисленного дохода по одной ценной бумаге, текущей стоимости одной ценной бумаги, общего количества ценных бумаг, общей суммы начисленного дохода, текущей стоимости инвестиций в ценные бумаги, иных возможных сведений, которые относятся к ценным бумагам, приобретенным за счет пенсионных активов; </w:t>
      </w:r>
      <w:r>
        <w:br/>
      </w:r>
      <w:r>
        <w:rPr>
          <w:rFonts w:ascii="Times New Roman"/>
          <w:b w:val="false"/>
          <w:i w:val="false"/>
          <w:color w:val="000000"/>
          <w:sz w:val="28"/>
        </w:rPr>
        <w:t xml:space="preserve">
      10) перечень передаваемых вкладов в банках второго уровня с указанием наименования банков-депонентов, сумм вкладов, дат заключения договоров банковского вклада, сроков вкладов, ставок вознаграждения по ним в процентах годовых, начисленных сумм вознаграждения, полученных сумм вознаграждения, иных возможных сведений, которые относятся к вкладам, осуществленным за счет пенсионных активов; </w:t>
      </w:r>
      <w:r>
        <w:br/>
      </w:r>
      <w:r>
        <w:rPr>
          <w:rFonts w:ascii="Times New Roman"/>
          <w:b w:val="false"/>
          <w:i w:val="false"/>
          <w:color w:val="000000"/>
          <w:sz w:val="28"/>
        </w:rPr>
        <w:t xml:space="preserve">
      11) сумма обязательств, в том числе ошибочно зачисленная сумма, сумма, подлежащая переводу на счет пенсионных выплат накопительного пенсионного фонда, сумма прочей кредиторской задолженности, сумма подлежащих к уплате комиссионных вознаграждений накопительного пенсионного фонда и передающей организации за счет пенсионных активов и инвестиционного дохода, сумма иных возможных обязательств; </w:t>
      </w:r>
      <w:r>
        <w:br/>
      </w:r>
      <w:r>
        <w:rPr>
          <w:rFonts w:ascii="Times New Roman"/>
          <w:b w:val="false"/>
          <w:i w:val="false"/>
          <w:color w:val="000000"/>
          <w:sz w:val="28"/>
        </w:rPr>
        <w:t xml:space="preserve">
      12) общая сумма начисленного комиссионного вознаграждения передающей организации за весь период ее инвестиционного управления пенсионными активами; </w:t>
      </w:r>
      <w:r>
        <w:br/>
      </w:r>
      <w:r>
        <w:rPr>
          <w:rFonts w:ascii="Times New Roman"/>
          <w:b w:val="false"/>
          <w:i w:val="false"/>
          <w:color w:val="000000"/>
          <w:sz w:val="28"/>
        </w:rPr>
        <w:t xml:space="preserve">
      13) сумма выплаченных и подлежащих к уплате комиссионных вознаграждений накопительного пенсионного фонда и передающей организации за счет пенсионных активов и инвестиционного дохода за весь период инвестиционного управления пенсионными активами накопительного пенсионного фонда, передающей организацией; </w:t>
      </w:r>
      <w:r>
        <w:br/>
      </w:r>
      <w:r>
        <w:rPr>
          <w:rFonts w:ascii="Times New Roman"/>
          <w:b w:val="false"/>
          <w:i w:val="false"/>
          <w:color w:val="000000"/>
          <w:sz w:val="28"/>
        </w:rPr>
        <w:t xml:space="preserve">
      14) результаты расчета стоимости одной условной единицы пенсионных активов на конец последнего дня, предшествующего дате расторжения договора; </w:t>
      </w:r>
      <w:r>
        <w:br/>
      </w:r>
      <w:r>
        <w:rPr>
          <w:rFonts w:ascii="Times New Roman"/>
          <w:b w:val="false"/>
          <w:i w:val="false"/>
          <w:color w:val="000000"/>
          <w:sz w:val="28"/>
        </w:rPr>
        <w:t xml:space="preserve">
      15) перечень документов, передаваемых в соответствии с пунктом 31-5 настоящих Правил, с указанием их объема; </w:t>
      </w:r>
      <w:r>
        <w:br/>
      </w:r>
      <w:r>
        <w:rPr>
          <w:rFonts w:ascii="Times New Roman"/>
          <w:b w:val="false"/>
          <w:i w:val="false"/>
          <w:color w:val="000000"/>
          <w:sz w:val="28"/>
        </w:rPr>
        <w:t xml:space="preserve">
      16) иные возможные сведения, которые относятся к пенсионным активам фонда, передаваемым от передающей организации к принимающей организации по определению членов согласительной комиссии. </w:t>
      </w:r>
      <w:r>
        <w:br/>
      </w:r>
      <w:r>
        <w:rPr>
          <w:rFonts w:ascii="Times New Roman"/>
          <w:b w:val="false"/>
          <w:i w:val="false"/>
          <w:color w:val="000000"/>
          <w:sz w:val="28"/>
        </w:rPr>
        <w:t xml:space="preserve">
      31-7. Согласительная комиссия завершает свою работу к дате расторжения договора. </w:t>
      </w:r>
      <w:r>
        <w:br/>
      </w:r>
      <w:r>
        <w:rPr>
          <w:rFonts w:ascii="Times New Roman"/>
          <w:b w:val="false"/>
          <w:i w:val="false"/>
          <w:color w:val="000000"/>
          <w:sz w:val="28"/>
        </w:rPr>
        <w:t xml:space="preserve">
      31-8. Акт приема - передачи пенсионных активов составляется согласительной комиссией на дату расторжения договора в пяти экземплярах по одному экземпляру для накопительного пенсионного фонда, передающей организации, принимающей организации, банка-кастодиана накопительного пенсионного фонда, уполномоченного органа, подписывается членами согласительной комиссии, первым руководителем и главным бухгалтером накопительного пенсионного фонда, передающей организации и принимающей организации и заверяется оттиском печати накопительного пенсионного фонда, передающей организации и принимающей организации. </w:t>
      </w:r>
      <w:r>
        <w:br/>
      </w:r>
      <w:r>
        <w:rPr>
          <w:rFonts w:ascii="Times New Roman"/>
          <w:b w:val="false"/>
          <w:i w:val="false"/>
          <w:color w:val="000000"/>
          <w:sz w:val="28"/>
        </w:rPr>
        <w:t xml:space="preserve">
      Акт приема - передачи пенсионных активов содержит отметку банка-кастодиана накопительного пенсионного фонда о достоверности данных акта приема - передачи, заверенную подписью первого руководителя банка-кастодиана или его руководящего работника, который курирует его подразделение, осуществляющее кастодиальное обслуживание накопительного пенсионного фонда, и оттиск печати банка-кастодиана. </w:t>
      </w:r>
      <w:r>
        <w:br/>
      </w:r>
      <w:r>
        <w:rPr>
          <w:rFonts w:ascii="Times New Roman"/>
          <w:b w:val="false"/>
          <w:i w:val="false"/>
          <w:color w:val="000000"/>
          <w:sz w:val="28"/>
        </w:rPr>
        <w:t xml:space="preserve">
      Акт приема - передачи пенсионных активов утверждается первым руководителем организации - инициатора расторжения договора. </w:t>
      </w:r>
      <w:r>
        <w:br/>
      </w:r>
      <w:r>
        <w:rPr>
          <w:rFonts w:ascii="Times New Roman"/>
          <w:b w:val="false"/>
          <w:i w:val="false"/>
          <w:color w:val="000000"/>
          <w:sz w:val="28"/>
        </w:rPr>
        <w:t xml:space="preserve">
      31-9. Акт приема - передачи пенсионных активов представляется уполномоченному органу в течение трех рабочих дней со дня его утверждения. </w:t>
      </w:r>
      <w:r>
        <w:br/>
      </w:r>
      <w:r>
        <w:rPr>
          <w:rFonts w:ascii="Times New Roman"/>
          <w:b w:val="false"/>
          <w:i w:val="false"/>
          <w:color w:val="000000"/>
          <w:sz w:val="28"/>
        </w:rPr>
        <w:t xml:space="preserve">
      31-10. Днем передачи пенсионных активов в инвестиционное управление принимающей организации признается дата утверждения акта приема - передачи пенсионных активов. </w:t>
      </w:r>
      <w:r>
        <w:br/>
      </w:r>
      <w:r>
        <w:rPr>
          <w:rFonts w:ascii="Times New Roman"/>
          <w:b w:val="false"/>
          <w:i w:val="false"/>
          <w:color w:val="000000"/>
          <w:sz w:val="28"/>
        </w:rPr>
        <w:t xml:space="preserve">
      31-11. В случае приостановления действия лицензии на осуществление деятельности по инвестиционному управлению пенсионными активами Организации либо ее лишения, Организация в течение пяти календарных дней с даты приостановления действия лицензии либо ее лишения направляет накопительному пенсионному фонду, уведомление о прекращении обязательства по договору и создает согласительную комиссию на основании приказа первого руководителя Организации. Состав согласительной комиссии определяется пунктом 31-3 настоящих Правил. </w:t>
      </w:r>
      <w:r>
        <w:br/>
      </w:r>
      <w:r>
        <w:rPr>
          <w:rFonts w:ascii="Times New Roman"/>
          <w:b w:val="false"/>
          <w:i w:val="false"/>
          <w:color w:val="000000"/>
          <w:sz w:val="28"/>
        </w:rPr>
        <w:t xml:space="preserve">
      Согласительная комиссия в течение десяти дней осуществляет мероприятия в соответствии с пунктами 31-4 - 31-6, 31-8 - 3-10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xml:space="preserve">
      1) постановление Директората Национальной комиссии Республики Казахстан по ценным бумагам от 22 октября 1999 года  </w:t>
      </w:r>
      <w:r>
        <w:rPr>
          <w:rFonts w:ascii="Times New Roman"/>
          <w:b w:val="false"/>
          <w:i w:val="false"/>
          <w:color w:val="000000"/>
          <w:sz w:val="28"/>
        </w:rPr>
        <w:t xml:space="preserve">N 460 </w:t>
      </w:r>
      <w:r>
        <w:rPr>
          <w:rFonts w:ascii="Times New Roman"/>
          <w:b w:val="false"/>
          <w:i w:val="false"/>
          <w:color w:val="000000"/>
          <w:sz w:val="28"/>
        </w:rPr>
        <w:t xml:space="preserve"> "Об утверждении Инструкции о порядке передачи пенсионных активов при расторжении договоров на инвестиционное управление пенсионными активами" (зарегистрированное в Реестре государственной регистрации нормативных правовых актов под N 955); </w:t>
      </w:r>
      <w:r>
        <w:br/>
      </w:r>
      <w:r>
        <w:rPr>
          <w:rFonts w:ascii="Times New Roman"/>
          <w:b w:val="false"/>
          <w:i w:val="false"/>
          <w:color w:val="000000"/>
          <w:sz w:val="28"/>
        </w:rPr>
        <w:t xml:space="preserve">
      2) постановление Директората Национальной комиссии Республики Казахстан по ценным бумагам от 16 октября 2000 года  </w:t>
      </w:r>
      <w:r>
        <w:rPr>
          <w:rFonts w:ascii="Times New Roman"/>
          <w:b w:val="false"/>
          <w:i w:val="false"/>
          <w:color w:val="000000"/>
          <w:sz w:val="28"/>
        </w:rPr>
        <w:t xml:space="preserve">N 692 </w:t>
      </w:r>
      <w:r>
        <w:rPr>
          <w:rFonts w:ascii="Times New Roman"/>
          <w:b w:val="false"/>
          <w:i w:val="false"/>
          <w:color w:val="000000"/>
          <w:sz w:val="28"/>
        </w:rPr>
        <w:t xml:space="preserve"> "О внесении дополнений в постановление Директората Национальной комиссии Республики Казахстан по ценным бумагам "Об утверждении Инструкции о порядке передачи пенсионных активов при расторжении договоров на инвестиционное управление пенсионными активами" от 22 октября 1999 года N 460" (зарегистрированное в Реестре государственной регистрации нормативных правовых актов под N 1303); </w:t>
      </w:r>
      <w:r>
        <w:br/>
      </w:r>
      <w:r>
        <w:rPr>
          <w:rFonts w:ascii="Times New Roman"/>
          <w:b w:val="false"/>
          <w:i w:val="false"/>
          <w:color w:val="000000"/>
          <w:sz w:val="28"/>
        </w:rPr>
        <w:t xml:space="preserve">
      3) постановление Правления Национального Банка Республики Казахстан от 21 апреля 2003 года  </w:t>
      </w:r>
      <w:r>
        <w:rPr>
          <w:rFonts w:ascii="Times New Roman"/>
          <w:b w:val="false"/>
          <w:i w:val="false"/>
          <w:color w:val="000000"/>
          <w:sz w:val="28"/>
        </w:rPr>
        <w:t xml:space="preserve">N 131 </w:t>
      </w:r>
      <w:r>
        <w:rPr>
          <w:rFonts w:ascii="Times New Roman"/>
          <w:b w:val="false"/>
          <w:i w:val="false"/>
          <w:color w:val="000000"/>
          <w:sz w:val="28"/>
        </w:rPr>
        <w:t xml:space="preserve"> "О внесении изменений и дополнения в постановление Директората Национальной комиссии Республики Казахстан по ценным бумагам от 22 октября 1999 года N 460 "Об утверждении Инструкции о порядке передачи пенсионных активов при расторжении договоров на инвестиционное управление пенсионными активами", зарегистрированное в Министерстве юстиции Республики Казахстан под N 955" (зарегистрированное в Реестре государственной регистрации нормативных правовых актов под N 2321).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Департаменту надзора за субъектами рынка ценных бумаг и накопительными пенсионными фондами (Хаджиева М.Ж.):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течение десяти дней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Службе Председателя Агентства (Заборцева Е.Н.) принять меры к публикации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Узбекова Г.Н. </w:t>
      </w:r>
    </w:p>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