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b17" w14:textId="4fc1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 июня 2007 года N 367. Зарегистрирован в Министерстве юстиции Республики Казахстан 7 июня 2007 года N 4710.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Налогового комитета Министерства финансов Республики Казахстан от 20 сентября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727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 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4023, от 13 февраля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2006 года за N 4095, от 1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 сентября 2006 года за N 4362, от 16 марта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27 марта 2007 года за N 4589, от 4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16 апреля 2007 года за N 4614)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
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101, 102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"101. TranzWare (версия TWO 4.*, TWCMS 4.*)";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"102. XpressSolutions 2.x".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A.M.)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