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9c09" w14:textId="04c9c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платы за эмиссии в окружающую среду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охраны окружающей среды Республики Казахстан от 27 апреля 2007 года N 124-П. Зарегистрирован в Министерстве юстиции Республики Казахстан 1 июня 2007 года N 4694. Утратил силу приказом Министра охраны окружающей среды Республики Казахстан от 8 апреля 2009 года № 68-п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приказом Министра охраны окружающей среды РК от 08.04.2009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68-п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29)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</w:t>
      </w:r>
      <w:r>
        <w:rPr>
          <w:rFonts w:ascii="Times New Roman"/>
          <w:b w:val="false"/>
          <w:i w:val="false"/>
          <w:color w:val="000000"/>
          <w:sz w:val="28"/>
        </w:rPr>
        <w:t>
 Экологического кодекса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Методику расчета платы за эмиссии в окружающую среду (далее - Методика).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приказ Министра охраны окружающей среды Республики Казахстан от 20 мая 2005 года 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161-п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Расчета ставок платы за загрязнение окружающей среды" (зарегистрирован в Реестре регистрации нормативных правовых актов за N 3696);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приказ Министра охраны окружающей среды Республики Казахстан от 1 марта 2006 года N 72-п "О приостановлении действия приказа Министра охраны окружающей среды Республики Казахстан от 20 мая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161-п </w:t>
      </w:r>
      <w:r>
        <w:rPr>
          <w:rFonts w:ascii="Times New Roman"/>
          <w:b w:val="false"/>
          <w:i w:val="false"/>
          <w:color w:val="000000"/>
          <w:sz w:val="28"/>
        </w:rPr>
        <w:t>
 "Об утверждении Расчета ставок платы за загрязнение окружающей среды";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Утверждена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охраны окружающей среды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апреля 2007 года N 124-П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Методика расчета платы за эмиссии в окружающую среду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расчета платы за эмиссии в окружающую среду (далее - Методика) предназначена для определения платы за эмиссии в окружающую среду.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Плата взимается с природопользователей, осуществляющих следующие эмиссии в окружающую среду: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выброс в атмосферу загрязняющих веществ от стационарных и передвижных источников;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сброс загрязняющих веществ в водные объекты;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 отходов производства и потребления.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платы за выбросы от стационарных источников осуществляется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выб
</w:t>
      </w:r>
      <w:r>
        <w:rPr>
          <w:rFonts w:ascii="Times New Roman"/>
          <w:b w:val="false"/>
          <w:i w:val="false"/>
          <w:color w:val="000000"/>
          <w:sz w:val="28"/>
        </w:rPr>
        <w:t>
 = H х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x A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выб
</w:t>
      </w:r>
      <w:r>
        <w:rPr>
          <w:rFonts w:ascii="Times New Roman"/>
          <w:b w:val="false"/>
          <w:i w:val="false"/>
          <w:color w:val="000000"/>
          <w:sz w:val="28"/>
        </w:rPr>
        <w:t>
 - плата за выброс i-го загрязняющего вещества,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- ставка платы за выбросы от стационарных источников в окружающую среду, установленная местными представительными органами области (города республиканского значения, столицы) (тенге/условную тонну).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масса i-ого вещества, выброшенного в окружающую среду за отчетный период (тонн),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коэффициент относительной опасности, определяемый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= 1/ПДК 
</w:t>
      </w:r>
      <w:r>
        <w:rPr>
          <w:rFonts w:ascii="Times New Roman"/>
          <w:b w:val="false"/>
          <w:i w:val="false"/>
          <w:color w:val="000000"/>
          <w:vertAlign w:val="subscript"/>
        </w:rPr>
        <w:t>
в
</w:t>
      </w:r>
      <w:r>
        <w:rPr>
          <w:rFonts w:ascii="Times New Roman"/>
          <w:b w:val="false"/>
          <w:i w:val="false"/>
          <w:color w:val="000000"/>
          <w:sz w:val="28"/>
        </w:rPr>
        <w:t>
, где ПДК 
</w:t>
      </w:r>
      <w:r>
        <w:rPr>
          <w:rFonts w:ascii="Times New Roman"/>
          <w:b w:val="false"/>
          <w:i w:val="false"/>
          <w:color w:val="000000"/>
          <w:vertAlign w:val="subscript"/>
        </w:rPr>
        <w:t>
в
</w:t>
      </w:r>
      <w:r>
        <w:rPr>
          <w:rFonts w:ascii="Times New Roman"/>
          <w:b w:val="false"/>
          <w:i w:val="false"/>
          <w:color w:val="000000"/>
          <w:sz w:val="28"/>
        </w:rPr>
        <w:t>
 - предельно-допустимая концентрация загрязняющего вещества.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платы за выбросы от передвижных источников осуществляется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передв.ист.
</w:t>
      </w:r>
      <w:r>
        <w:rPr>
          <w:rFonts w:ascii="Times New Roman"/>
          <w:b w:val="false"/>
          <w:i w:val="false"/>
          <w:color w:val="000000"/>
          <w:sz w:val="28"/>
        </w:rPr>
        <w:t>
 = H х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передв.ист.
</w:t>
      </w:r>
      <w:r>
        <w:rPr>
          <w:rFonts w:ascii="Times New Roman"/>
          <w:b w:val="false"/>
          <w:i w:val="false"/>
          <w:color w:val="000000"/>
          <w:sz w:val="28"/>
        </w:rPr>
        <w:t>
 - плата за выброс от передвижных источников,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- ставка за выброс в атмосферу от передвижных источников, установленная местными представительными органами области (города республиканского значения, столицы), (тенге/тонну топлива);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масса i-ого вида топлива, израсходованного за отчетный период (тонн).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Расчет платы за сбросы i-го загрязняющего вещества осуществляется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выб.(сбр)
</w:t>
      </w:r>
      <w:r>
        <w:rPr>
          <w:rFonts w:ascii="Times New Roman"/>
          <w:b w:val="false"/>
          <w:i w:val="false"/>
          <w:color w:val="000000"/>
          <w:sz w:val="28"/>
        </w:rPr>
        <w:t>
 = H х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х А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выб.(сбр)
</w:t>
      </w:r>
      <w:r>
        <w:rPr>
          <w:rFonts w:ascii="Times New Roman"/>
          <w:b w:val="false"/>
          <w:i w:val="false"/>
          <w:color w:val="000000"/>
          <w:sz w:val="28"/>
        </w:rPr>
        <w:t>
 - плата за cброс i-го загрязняющего вещества,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- ставка платы за сбросы в окружающую среду, установленная местными представительными органами области (города республиканского значения, столицы) (тенге/условную тонну).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объем i-ого вещества, сброшенного в окружающую среду за отчетный период (тонн),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A
</w:t>
      </w:r>
      <w:r>
        <w:rPr>
          <w:rFonts w:ascii="Times New Roman"/>
          <w:b w:val="false"/>
          <w:i w:val="false"/>
          <w:color w:val="000000"/>
          <w:vertAlign w:val="subscript"/>
        </w:rPr>
        <w:t>
i 
</w:t>
      </w:r>
      <w:r>
        <w:rPr>
          <w:rFonts w:ascii="Times New Roman"/>
          <w:b w:val="false"/>
          <w:i w:val="false"/>
          <w:color w:val="000000"/>
          <w:sz w:val="28"/>
        </w:rPr>
        <w:t>
- коэффициент относительной опасности, определяемый по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
</w:t>
      </w:r>
      <w:r>
        <w:rPr>
          <w:rFonts w:ascii="Times New Roman"/>
          <w:b w:val="false"/>
          <w:i w:val="false"/>
          <w:color w:val="000000"/>
          <w:vertAlign w:val="subscript"/>
        </w:rPr>
        <w:t>
i 
</w:t>
      </w:r>
      <w:r>
        <w:rPr>
          <w:rFonts w:ascii="Times New Roman"/>
          <w:b w:val="false"/>
          <w:i w:val="false"/>
          <w:color w:val="000000"/>
          <w:sz w:val="28"/>
        </w:rPr>
        <w:t>
= 1/ПДК 
</w:t>
      </w:r>
      <w:r>
        <w:rPr>
          <w:rFonts w:ascii="Times New Roman"/>
          <w:b w:val="false"/>
          <w:i w:val="false"/>
          <w:color w:val="000000"/>
          <w:vertAlign w:val="subscript"/>
        </w:rPr>
        <w:t>
в
</w:t>
      </w:r>
      <w:r>
        <w:rPr>
          <w:rFonts w:ascii="Times New Roman"/>
          <w:b w:val="false"/>
          <w:i w:val="false"/>
          <w:color w:val="000000"/>
          <w:sz w:val="28"/>
        </w:rPr>
        <w:t>
, где ПДК 
</w:t>
      </w:r>
      <w:r>
        <w:rPr>
          <w:rFonts w:ascii="Times New Roman"/>
          <w:b w:val="false"/>
          <w:i w:val="false"/>
          <w:color w:val="000000"/>
          <w:vertAlign w:val="subscript"/>
        </w:rPr>
        <w:t>
в 
</w:t>
      </w:r>
      <w:r>
        <w:rPr>
          <w:rFonts w:ascii="Times New Roman"/>
          <w:b w:val="false"/>
          <w:i w:val="false"/>
          <w:color w:val="000000"/>
          <w:sz w:val="28"/>
        </w:rPr>
        <w:t>
- предельно-допустимая концентрация загрязняющего вещества в водном объекте данного вида (для сбросов в водные объекты).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Расчет платы за размещенный объем отходов производства и потребления осуществляется по следующей формуле: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bscript"/>
        </w:rPr>
        <w:t>
 отх
</w:t>
      </w:r>
      <w:r>
        <w:rPr>
          <w:rFonts w:ascii="Times New Roman"/>
          <w:b w:val="false"/>
          <w:i w:val="false"/>
          <w:color w:val="000000"/>
          <w:sz w:val="28"/>
        </w:rPr>
        <w:t>
 = H х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
</w:t>
      </w:r>
      <w:r>
        <w:rPr>
          <w:rFonts w:ascii="Times New Roman"/>
          <w:b w:val="false"/>
          <w:i w:val="false"/>
          <w:color w:val="000000"/>
          <w:vertAlign w:val="super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плата за размещение i-го вида отходов производства и потребления, тенге;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H - ставка платы за размещение одной тонны или 1 тыс. куб. м. отходов производства и потребления в зависимости от индекса опасности, утвержденная местными представительными органами на текущий год,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V
</w:t>
      </w:r>
      <w:r>
        <w:rPr>
          <w:rFonts w:ascii="Times New Roman"/>
          <w:b w:val="false"/>
          <w:i w:val="false"/>
          <w:color w:val="000000"/>
          <w:vertAlign w:val="subscript"/>
        </w:rPr>
        <w:t>
i
</w:t>
      </w:r>
      <w:r>
        <w:rPr>
          <w:rFonts w:ascii="Times New Roman"/>
          <w:b w:val="false"/>
          <w:i w:val="false"/>
          <w:color w:val="000000"/>
          <w:sz w:val="28"/>
        </w:rPr>
        <w:t>
 - объем i-ого вида отходов, размещенный природопользователем в процессе  производственной деятельности (тонн или куб.м, Гбк - для радиоактивных отходов).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 загрязнение окружающей среды сверх установленных лимитов, а также за неоднократное загрязнение окружающей среды, плата за эмиссии в окружающую среду, рассчитывается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налогах и других обязательных платежах в бюджет".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34 </w:t>
      </w:r>
      <w:r>
        <w:rPr>
          <w:rFonts w:ascii="Times New Roman"/>
          <w:b w:val="false"/>
          <w:i w:val="false"/>
          <w:color w:val="000000"/>
          <w:sz w:val="28"/>
        </w:rPr>
        <w:t>
 Экологического кодекса Республики Казахстан, к природопользователям, сертифицированным в установленном порядке на соответствие международным стандартам ISO 14001, при расчете платы за эмиссии в окружающую среду в пределах установленных лимитов, рассчитываемых в соответствии с пунктами 4-5, применяется понижающий коэффициент 0,12, по пункту 6 - понижающий коэффициент 0,25 (за исключением радиоактивных отходов).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Ставки платы за эмиссии в окружающую среду устанавливаются местными представительными органами, не ниже базовых и не выше предельных ставок, утверждаемых Правительством Республики Казахстан, в зависимости от планируемых расходов бюджета области (города республиканского значения, столицы) на мероприятия по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Масса веществ, выбрасываемых (сбрасываемых) в окружающую среду, объем использованного топлива и объем отходов, размещенных в окружающей среде, рассчитывается природопользователям самостоятельно по результатам производственного экологического контроля, и подлежит проверке в процессе осуществления государственного экологического контроля.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