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478b0" w14:textId="17478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ведения реестра лицензий на право занятия деятельностью в сфере игорного бизнеса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туризма и спорта Республики Казахстан от 28 февраля 2007 года № 1-2/35. Зарегистрирован в Министерстве юстиции Республики Казахстан 16 марта 2007 года № 4576. Утратил силу приказом Министра туризма и спорта Республики Казахстан от 30 декабря 2011 года № 02-02-18/255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 силу приказом Министра туризма и спорта РК от 30.12.2011 </w:t>
      </w:r>
      <w:r>
        <w:rPr>
          <w:rFonts w:ascii="Times New Roman"/>
          <w:b w:val="false"/>
          <w:i w:val="false"/>
          <w:color w:val="ff0000"/>
          <w:sz w:val="28"/>
        </w:rPr>
        <w:t>№ 02-02-18/255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подпунктом 6) 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пункта 1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8 Закона Республики Казахстан от 12 января 2007 года "Об игорном бизнесе" 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ведения реестра лицензий на право занятия деятельностью в сфере игорного бизнеса.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Комитету индустрии туризма Министерства туризма и спорта Республики Казахстан (Ускенбаеву К.А.) направить настоящий приказ на государственную регистрацию в Министерство юстиции Республики Казахстан.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Департаменту международного сотрудничества Министерства туризма и спорта Республики Казахстан (Журиной Е.В.) обеспечить официальное опубликование в средствах массовой информации настоящего приказа после его государственной регистрации в Министерстве юстиции Республики Казахстан.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приказа возложить на вице-министра туризма и спорта Республики Казахстан Мусина Х.Н.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Настоящий приказ вступает в силу с момента государственной регистрации и вводится в действие с 1 апреля 2007 года.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Министр 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Министерства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туризма и спорта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28 февраля 2007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1-2/35                </w:t>
      </w:r>
    </w:p>
    <w:bookmarkEnd w:id="5"/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Правила </w:t>
      </w:r>
      <w:r>
        <w:br/>
      </w:r>
      <w:r>
        <w:rPr>
          <w:rFonts w:ascii="Times New Roman"/>
          <w:b/>
          <w:i w:val="false"/>
          <w:color w:val="000000"/>
        </w:rPr>
        <w:t xml:space="preserve">
ведения реестра лицензий на право занятия </w:t>
      </w:r>
      <w:r>
        <w:br/>
      </w:r>
      <w:r>
        <w:rPr>
          <w:rFonts w:ascii="Times New Roman"/>
          <w:b/>
          <w:i w:val="false"/>
          <w:color w:val="000000"/>
        </w:rPr>
        <w:t xml:space="preserve">
деятельностью в сфере игорного бизнеса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разработаны в соответствии с 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"Об игорном бизнесе".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Реестр лицензий на право занятия деятельностью в сфере игорного бизнеса представляет собой журнал, установленной настоящими правилами форме согласно приложению, несущий информацию о выданных лицензиях на осуществление деятельности в сфере игорного бизнеса, а также о лицензиях действия которых, приостановлены, возобновлены либо прекращены.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Выписка из реестра публикуется на официальном сайте Министерства туризма и спорта Республики Казахстан в Интернете.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Реестр ведется Комитетом индустрии туризма Министерства туризма и спорта Республики Казахстан (лицензиаром) и предназначается для систематизации учета лицензий на право занятия деятельностью в сфере игорного бизнеса. 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Реестр ведется на бумажном (журнал) и электронном (компьютер) носителях. Журнал должен быть пронумерован, прошнурован и скреплен печатью Комитета индустрии туризма Министерства туризма и спорта Республики Казахстан.  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Реестр заполняется на государственном и русском языках. Заполнение реестра допускается только чернилами черного или синего цвета, подчистки в его тексте с применением корректирующей жидкости не допускается. 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Реестр содержит следующие графы, обозначающие: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графа 1 - порядковый номер;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графа 2 - наименование лицензиара;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графа 3 - дата выдачи и номер лицензии;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графа 4 - фамилия, имя, отчество индивидуального предпринимателя;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графа 5 - место жительства индивидуального предпринимателя;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графа 6 - данные документа, удостоверяющие личность физического лица;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графа 7 - номер и дата выдачи свидетельства государственной регистрации физического лица в качестве индивидуального предпринимателя;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графа 8 - наименование юридического лица;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графа 9 - организационно-правовая форма юридического лица;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графа 10 - местонахождения юридического лица;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графа 11 - индивидуальный идентификационный номер (ИИН) или бизнес-идентификационный номер (БИН);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графа 12 - вид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графа 13 - наименование игорного заведения;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графа 14 - местонахождения игорного заведения;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графа 15 - срок действия лицензии;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графа 16 - номер платежного поручения и дата уплаты лицензионного сбора;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графа 17 - приостановлено (основания и даты приостановления действия лицензии);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графа 18 - возобновлено (основания и даты возобновления действия лицензии);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графа 19 - прекращено (основание и дата прекращения действия лицензии);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графа 20 - переоформлено (основания и дата переоформления лицензии);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графа 21 - фамилия, имя, отчество и роспись получившего лицензию;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графа 22 - примечание.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 Сноска. В пункт 5 внесены изменения - приказом Министра туризма и спорта Республики Казахстан от 28 июня 2007 года  </w:t>
      </w:r>
      <w:r>
        <w:rPr>
          <w:rFonts w:ascii="Times New Roman"/>
          <w:b w:val="false"/>
          <w:i w:val="false"/>
          <w:color w:val="000000"/>
          <w:sz w:val="28"/>
        </w:rPr>
        <w:t xml:space="preserve">N 1-2/112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  </w:t>
      </w:r>
      <w:r>
        <w:rPr>
          <w:rFonts w:ascii="Times New Roman"/>
          <w:b w:val="false"/>
          <w:i w:val="false"/>
          <w:color w:val="000000"/>
          <w:sz w:val="28"/>
        </w:rPr>
        <w:t xml:space="preserve">п.6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Данные подлежат включению в реестр в день получения лицензиатом лицензии на осуществления деятельности в сфере игорного бизнеса, или со дня подписания приказа о приостановлении, прекращении, возобновлении действия лицензии или со дня вступления в законную силу решения суда о приостановлении действия или о лишении лицензии. 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Доступ к реестру имеют лица, ответственные за его ведение, хранение, а также лица, осуществляющие контроль за полнотой производимых в нем записей.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Реестр подлежит постоянному хранению. 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ведения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реестра лицензий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право занятия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деятельностью в сфере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игорного бизнеса,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утвержденным приказом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Министерства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туризма и спорта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28 февраля 2007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1-2/35               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 Сноска. Приложение с изменениями - приказом Министра туризма и спорта Республики Казахстан от 28 июня 2007 года  </w:t>
      </w:r>
      <w:r>
        <w:rPr>
          <w:rFonts w:ascii="Times New Roman"/>
          <w:b w:val="false"/>
          <w:i w:val="false"/>
          <w:color w:val="ff0000"/>
          <w:sz w:val="28"/>
        </w:rPr>
        <w:t xml:space="preserve">N 1-2/112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  </w:t>
      </w:r>
      <w:r>
        <w:rPr>
          <w:rFonts w:ascii="Times New Roman"/>
          <w:b w:val="false"/>
          <w:i w:val="false"/>
          <w:color w:val="ff0000"/>
          <w:sz w:val="28"/>
        </w:rPr>
        <w:t xml:space="preserve">п.6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 Реестр лицензий на право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 занятия деятельностью в сфере игорного бизнеса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3"/>
        <w:gridCol w:w="1193"/>
        <w:gridCol w:w="1173"/>
        <w:gridCol w:w="1133"/>
        <w:gridCol w:w="1053"/>
        <w:gridCol w:w="1053"/>
        <w:gridCol w:w="1373"/>
        <w:gridCol w:w="1173"/>
        <w:gridCol w:w="1153"/>
        <w:gridCol w:w="953"/>
        <w:gridCol w:w="1073"/>
      </w:tblGrid>
      <w:tr>
        <w:trPr>
          <w:trHeight w:val="450" w:hRule="atLeast"/>
        </w:trPr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</w:p>
        </w:tc>
        <w:tc>
          <w:tcPr>
            <w:tcW w:w="1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зиара </w:t>
            </w:r>
          </w:p>
        </w:tc>
        <w:tc>
          <w:tcPr>
            <w:tcW w:w="1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выда-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зии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лицензиата </w:t>
            </w:r>
          </w:p>
        </w:tc>
        <w:tc>
          <w:tcPr>
            <w:tcW w:w="1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иден-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тифи-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(ИИН)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иден-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тифи-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(БИН)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индивидуальные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предприниматели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юридические лица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Фами-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ства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ряю-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лица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Номер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дата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выдачи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свиде-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тве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мателя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диче-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лица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вовая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лица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хож-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</w:tr>
      <w:tr>
        <w:trPr>
          <w:trHeight w:val="45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продолжение таблицы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3"/>
        <w:gridCol w:w="1053"/>
        <w:gridCol w:w="1053"/>
        <w:gridCol w:w="1053"/>
        <w:gridCol w:w="1093"/>
        <w:gridCol w:w="1273"/>
        <w:gridCol w:w="1073"/>
        <w:gridCol w:w="973"/>
        <w:gridCol w:w="953"/>
        <w:gridCol w:w="873"/>
        <w:gridCol w:w="374"/>
      </w:tblGrid>
      <w:tr>
        <w:trPr>
          <w:trHeight w:val="45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игор-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заве-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хож-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игор-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заве-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дения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нзии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Номер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теж-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нзи-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сбора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влено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(осно-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даты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нзии)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бнов-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бнов-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нзии)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нзии)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офор-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офор-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зии)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пись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зию 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 </w:t>
            </w:r>
          </w:p>
        </w:tc>
      </w:tr>
      <w:tr>
        <w:trPr>
          <w:trHeight w:val="45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</w:t>
            </w:r>
          </w:p>
        </w:tc>
      </w:tr>
      <w:tr>
        <w:trPr>
          <w:trHeight w:val="45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