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759" w14:textId="3a9e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 административно-территориальном устройстве
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ноября 2006 года N 820 и решение Восточно-Казахстанского областного Маслихата от 5 декабря 2006 года N 20/326-III. Зарегистрировано Департаментом юстиции Восточно-Казахстанской области 21 декабря 2006 года за N 2437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подпунктами 2),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административно-территориальном устройстве Республики Казахстан", на основании совместного решения маслихата от 02 июня 2005 года N 14/12-III и постановления акимата Глубоковского района от 14 июня 2005 года N 1178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административно-территориальную единицу - Ушановский сельский округ Глубоковского района с административным центром в селе Ушаново, с подчинением сел Степное, Каменный карьер и Комсомольское, выделив их из состава Бобровского сельского округа Глубоковского района.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Восточно-Казахстанского областного маслихата от 18 октября 2005 года N 13/197-III и постановление Восточно-Казахстанского областного акимата от 5 октября 2005 года N 319 отменить.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с 18 октября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Председатель сессии              Аким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Секретарь областного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маслихата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