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b03e" w14:textId="deab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27/238-3с от 24 марта 2006 года городского маслихата "О правилах благоустройства, обеспечения санитарного состояния и защиты зеленых насаждений в городе Шымкенте"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декабря 2006 года N 35/332-3с. Зарегистрировано Управлением юстиции города Шымкента Южно-Казахстанской области 16 января 2007 года за N 14-1-47. Утратило силу решением Шымкентского городского маслихата Южно-Казахстанской области от 14 апреля 2008 года N 9/78-4c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решением Шымкентского городского маслихата Южно-Казахстанской области от 14.04.2008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9/78-4c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 городской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от 24 марта 2006 года N 27/238-3с "О правилах благоустройства, обеспечения санитарного состояния и защиты зеленых насаждений в городе Шымкенте" (зарегистрировано в Управлении юстиции г.Шымкента N 14-1-26 от 10.04.2006 г., опубликовано в газетах "Панорама Шымкента" и "Шымкент келбеті" от 21.04.2006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Главу 1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Наружная (визуальная) информация и оформление - распостраняемая и размещаемая в любой форме, с помощью любых средств информация, предназначенная для неопределенного круга лиц и призванная формировать и поддерживать интерес к физическому или юридическому лицу, товарам, товарным знакам, работам, услугам и способствовать их реализации".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главу 3 дополнить пунктами 18-1 и 28-1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В случае если имеется владелец пассажирских павильонов,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владельцами. Границы работ по уборке посадочных площадок определяются на схематических картах. Остановочные площадки должны быть полностью очищены от грунтово-песчаных наносов, различного мусора";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"28-1. Уборку и содержание не используемых в течение длительного времени и не осваиваемых отведенных территорий, территорий после сноса строений производят землепользователи либо заказчики, которым отведена данная территория, либо согласно договору подрядные предприятия, выполняющие работы по сносу строений".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Главу 4 дополнить пунктом 32-1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"32-1. За каждым специализированным предприятием могуть быть закреплены территории производства на них сбора и вывоза отходов в границах, определенных решением местного исполнительного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название главы 7 изложить в следующей редакции "Порядок установки и содержания малых архитектурных форм и средств наружной (визуальной) информации и оформления на территории города";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50 слова "рекламных стендов" заменить словами "средств наружной (визуальной) информации и оформления", слова "с городским управлением архитектуры и градостроительства" заменить словами "с отделом архитектуры и градостроительства города";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главу 7 дополнить пунктом 50-1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"50-1. К средствам наружной (визуальной) информации и оформления относятся различные носители рекламных и информационных сообщений, принадлежащие физическим и юридическим лицам всех форм собственности, размещаемые в городе Шымкенте и рассчитанные на визуальное восприятие из городского пространства. Средства наружной (визуальной) информации и оформления подразделяются на следующие типы: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стационарные средства (билборды, стэллы, пилоны, лайтбоксы, щиты, крышные установки, брандмауэры, электронные экраны, витрины, транспаранты (перетяжки) и другие конструкции);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временные средства (выносные щитовые конструкции (штендеры), информации на ограждениях объектов строительства и розничной торговли, информация на транспортных средствах, информация на лотках, тележках и зонтиках)";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"55. Для получения разрешения на размещение или распространение наружной (визуальной) информации и оформления, заявитель представляет в уполномоченный орган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по форме установленной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эскизный проект с указанием габаритных размеров (общий вид должен быть выполнен в технике фотоколлажа), согласованный с отделом культуры и развития языков города, на соблюдение требований и норм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рекламе"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языках в РК"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утвержденный отделом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положительном заключении уполномоченного органа заявителю выдается акт согласования. Данный акт подписывается всеми заинтересованными организациями в области безопасности дорожного движения, телекоммуникаций и систем жизнеобеспечения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договор, заключенный с балансодержателем здания, сооружения и конструкции на размещение наружной (визуальной) информации и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на строительство стационарных средств, выданный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размещении заявителю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заявителем и уполномоченным органом заключается соглашение об эксплуатационном содержании средства наружной (визуальной) информации и оформления, согласно которому заявитель принимает на себя обязанности по эксплуатации и содержанию конструкции. После чего заявителю выдается технический проект с указанием номера объекта, присвоенного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выполнения строительно-монтажных работ не должен превышать тридцати календарных дней. В случае просрочки выполнения строительно-монтажных работ разрешение на размещение утрачивает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и распространение средств наружной (визуальной) информации и оформления без разрешения, выданного уполномоченным органом,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обязан предоставлять в органы налоговой службы сведения о выданных разрешительных документах в порядке, установленном налоговым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главу 7 дополнить пунктом 55-1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"55-1. Инженерно-техническое решение средств наружной (визуальной) информации и оформления должно обеспечить прочность, жесткость, устойчивость и безопасность конструкции на весь срок эксплуатации в соответствии с нормативами и/или предельно допустимым уровнем (нагрузкой), установленными для каждого вида воздействия, а также учитывать несущие возможности элементов зданий и сооружений, на которые закрепляются рекламоносители, и исключить вследствие этого потери их эксплуатационных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объекта наружной (визуальной) информации и оформления несет ответственность за любые нарушения правил безопасности, а также за неисправности и аварийные ситуации, возникшие из-за нарушения им условий монтажа и эксплуатации 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используемые в производстве средств наружной информации и оформления, должны отвечать современным требованиям качества и безопасности, экологическим и санитарно-гигиеническим нормам, природно-климатическим условиям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средствами наружной (визуальной) информации и оформления любого вида, установленных в одном направлении, должно быть не менее ста метров, за исключением ранее установленных конструкций в пределах срока действия технического проекта, выданного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Нижний край средства наружной (визуальной) информации и оформления или крепящих его конструкций должен располагаться на высоте четыре с половины метров от уровня проезжей части автомобильной дороги или улицы. В случае расположения на меньшей высоте расстояние от края проезжей части до рекламной конструкции должно быть не менее пяти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наружной информации и оформления должны эксплуатироваться в двойном режиме (дневном, ночном), то есть предусматривать подсветку информационного поля, включение которой должно осуществляться в соответствии с графиком режима работы уличного освещения.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могут составлять носители, подсветка которых технически затруднена или нецелесообразна (транспаранты ("перетяжки"), флаговые композиции, навесы, наземные панно, сервисные дорожные знаки и знаки маршрутного ориентирования, имеющие светоотражающее покрытие).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объекта наружной (визуальной) информации и оформления обязан восстановить благоустройство территории после установки (демонтажа) конструкции в том виде, в котором она была до установки (демонтажа) конструкции в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двух суток - для тротуаров, дорог, газонов;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пяти суток - для фасадов и крыш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стационарных средств наружной информации и оформления, являющихся источниками шума, вибрации, мощных световых, электромагнитных и иных излучений и полей, вблизи жилых помещений с нарушением установленных санитарных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средства наружной (визуальной) информации и оформления должны содержать номер, под которым он согласован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элементы средств наружной (визуальной) информации и оформления должны содержаться в исправном состоянии. Разрешения на отдельно стоящие наземные конструкции выдается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распространяется на всех юридических лиц, независимо от форм собственности и ведомственной подчиненности, а также физических лиц при установке и эксплуатации ими средств наружной (визуальной) информации и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Отношения, не охватываемые порядком, регулируются действующим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105 главы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"105. После получения разрешения застройщик-заказчик (владелец объекта при реконструкции, ремонте) в соответствии с действующими нормами и правилами должен выполнить обустройство строительной площадки с соблюдением следующих обязательных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ограждение должно быть изготовлено из металлических профилированных листов либо из железобетонных панелей, предназначенных для ограждений, в местах массового прохода людей ограждение необходимо оборудовать сплошным защитным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конструкции ограждения должны быть жестко закреплены и выровнены в горизонтальном и вертикальном направлениях, окрашены и иметь опрятный вид;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выездов устанавливаются информационные 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внутриплощадочные дороги и подъездные пути к стройплощадкам должны иметь твердое покрытие, обеспечить их примыкание к асфальтированным городским проездам;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выездах оборудуются пункты мойки (очистки) колес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должны быть предусмотрены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допускается сбрасывание отходов и мусора с этажей объектов без применения закрытых лотков и бункеров-накопителей;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работах на фасадах зданий, сооружений должно быть предусмотрено сетчатое ограждение, выполненное из сеток, специально предусмотренных для этих целей, которые крепятся по фасаду, либо на конструкциях установленных лесов; не допускаются искривление и провисание сеток;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необходимости обеспечиваются обустройство пешеходных галерей, настилов, перил, объездных и временных дорог и содержание их в исправном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все материалы и грунт размещаются только в пределах огражденной территории, вынутый грунт (за исключением плодородного) немедленно вывозится на полигон твердых бытовых отходов или на другие участки по согласованию с уполномоченным органом 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организации своевременного вывоза бытового и строительного мусора,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предприятиями, имеющими лицензии на данные виды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после завершения строительства застройщик обязан восстановить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Главу 14 дополнить пунктом 105-1 и 105-2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"105-1 запрещается самовольное переоборудование фасадов зданий и конструктивных элементов".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"105-2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Управлением охраны памятников и отделом архитектуры и градостроительства согласно нормативам и правилам, устанавливаемым правовыми актами Республики Казахстан и города Шымкент".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11). Подпункт 5) пункта 113 и подпункт 3) пункта 114 главы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мыть, чистить и проводить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мыть, чистить и проводить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