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b20" w14:textId="d94e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предоставляемых гражданам Республики Казахстан, которые могут находиться в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Костанайского областного маслихата и постановление Костанайского областного Акимата N 347/5св от 15 сентября 2006 года. Зарегистрировано Департаментом юстиции Костанайской области 23 октября 2006 года N 3554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совместного решения маслихата Костанайской области и постановления акимата Костанайской области от 25.09.2012 </w:t>
      </w:r>
      <w:r>
        <w:rPr>
          <w:rFonts w:ascii="Times New Roman"/>
          <w:b w:val="false"/>
          <w:i w:val="false"/>
          <w:color w:val="ff0000"/>
          <w:sz w:val="28"/>
        </w:rPr>
        <w:t>№ 77/4 св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Костанайской области от 14.03.2014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Костанайской области от 14.03.2014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(максимальные) размеры земельных участков, предоставляемых гражданам Республики Казахстан, которые могут находиться в частной собственности: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ведения личного подсобного хозяйства (включая приусадебный и полевой наделы) в сельской местности - 0,50 гектара (в том числе - 0,25 гектара бесплатно) на неорошаемых и до 0,30 гектара (в том числе 0,15 гектара бесплатно) на орошаемых землях;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индивидуального жилищного строительства - 0,20 гектара (в том числе 0,10 гектара бесплатно);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садоводства, а также дачного строительства - 0,24 гектара (в том числе 0,12 гектара бесплатно);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совместным решением маслихата Костанайской области и постановлением акимата Костанайской области от 25.09.2012 </w:t>
      </w:r>
      <w:r>
        <w:rPr>
          <w:rFonts w:ascii="Times New Roman"/>
          <w:b w:val="false"/>
          <w:i w:val="false"/>
          <w:color w:val="000000"/>
          <w:sz w:val="28"/>
        </w:rPr>
        <w:t>№ 77/4 св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Костанайского областного маслихата и акимата Костанайской области "О предельных (максимальных) размерах земельных участков, которые могут находиться в частной собственности граждан и в долгосрочном землепользовании для ведения товарного сельскохозяйственного производства" от 15 марта 2002 года № 201/3 С (№ 1420 в Реестре государственной регистрации нормативных правовых актов).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в соответствии с законодательством Республики Казахстан.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5893"/>
      </w:tblGrid>
      <w:tr>
        <w:trPr>
          <w:trHeight w:val="30" w:hRule="atLeast"/>
        </w:trPr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